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DFA71B">
      <w:pPr>
        <w:pStyle w:val="7"/>
        <w:widowControl w:val="0"/>
        <w:adjustRightInd w:val="0"/>
        <w:snapToGrid w:val="0"/>
        <w:spacing w:line="59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广东省2023年化肥减量化工作方案</w:t>
      </w:r>
    </w:p>
    <w:p w14:paraId="134699EC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</w:p>
    <w:p w14:paraId="757207F0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为持续推进我省科学施肥工作，促进农业绿色高质量发展，根据农业农村部种植业管理司《关于做好2023年化肥减量化工作的通知》（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农农（肥水）〔2023〕8号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）的要求，特制定《广东省2023年化肥减量化工作方案》。</w:t>
      </w:r>
    </w:p>
    <w:p w14:paraId="4F13BA2B">
      <w:pPr>
        <w:adjustRightInd w:val="0"/>
        <w:snapToGrid w:val="0"/>
        <w:spacing w:line="590" w:lineRule="exact"/>
        <w:ind w:firstLine="632" w:firstLineChars="200"/>
        <w:rPr>
          <w:rFonts w:hint="eastAsia" w:ascii="黑体" w:hAnsi="黑体" w:eastAsia="黑体" w:cs="黑体"/>
          <w:snapToGrid w:val="0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snapToGrid w:val="0"/>
          <w:color w:val="auto"/>
          <w:kern w:val="0"/>
          <w:sz w:val="32"/>
          <w:szCs w:val="32"/>
        </w:rPr>
        <w:t>一、总体要求</w:t>
      </w:r>
    </w:p>
    <w:p w14:paraId="5BD6057A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以习近平新时代中国特色社会主义思想为指导，全面贯彻落实党的二十大精神和中央一号文件部署，完整、准确、全面贯彻新发展理念，以保障粮食和重要农产品有效供给、促进农业绿色发展为目标，按照“高产、优质、经济、环保”的要求，持续推进测土配方施肥，实施多元替代，加强肥料新产品、新技术、新装备集成创新和推广应用，优化施肥结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改善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施肥方式、调整施肥结构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促进施肥精准化、智能化、专业化，提高化肥利用率，为实现农业绿色高质量发展提供有力支撑。</w:t>
      </w:r>
    </w:p>
    <w:p w14:paraId="6281756C">
      <w:pPr>
        <w:adjustRightInd w:val="0"/>
        <w:snapToGrid w:val="0"/>
        <w:spacing w:line="590" w:lineRule="exact"/>
        <w:ind w:firstLine="632" w:firstLineChars="200"/>
        <w:rPr>
          <w:rFonts w:hint="eastAsia" w:ascii="黑体" w:hAnsi="黑体" w:eastAsia="黑体" w:cs="黑体"/>
          <w:snapToGrid w:val="0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snapToGrid w:val="0"/>
          <w:color w:val="auto"/>
          <w:kern w:val="0"/>
          <w:sz w:val="32"/>
          <w:szCs w:val="32"/>
        </w:rPr>
        <w:t>二、目标任务</w:t>
      </w:r>
    </w:p>
    <w:p w14:paraId="7420B02E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继续夯实测土配方施肥基础，完成各种肥料效应、化肥利用率等田间试验260个，开展农户施肥情况调查8250户以上，测土配方施肥技术推广面积达到6100万亩、技术覆盖率保持在90%以上。大力推广施肥新技术、新产品、新机具“三新”配套，打造化肥减量增效升级版95万亩次以上，转变肥料利用方式，有效降低化肥施用强度，实现节本增效。</w:t>
      </w:r>
    </w:p>
    <w:p w14:paraId="27278385">
      <w:pPr>
        <w:adjustRightInd w:val="0"/>
        <w:snapToGrid w:val="0"/>
        <w:spacing w:line="590" w:lineRule="exact"/>
        <w:ind w:firstLine="632" w:firstLineChars="200"/>
        <w:rPr>
          <w:rFonts w:hint="eastAsia" w:ascii="黑体" w:hAnsi="黑体" w:eastAsia="黑体" w:cs="黑体"/>
          <w:snapToGrid w:val="0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snapToGrid w:val="0"/>
          <w:color w:val="auto"/>
          <w:kern w:val="0"/>
          <w:sz w:val="32"/>
          <w:szCs w:val="32"/>
        </w:rPr>
        <w:t>三、重点工作</w:t>
      </w:r>
    </w:p>
    <w:p w14:paraId="59D2F4AA">
      <w:pPr>
        <w:adjustRightInd w:val="0"/>
        <w:snapToGrid w:val="0"/>
        <w:spacing w:line="590" w:lineRule="exact"/>
        <w:ind w:firstLine="632" w:firstLineChars="200"/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（一）整合各方力量，巩固测土配方施肥基础。</w:t>
      </w:r>
    </w:p>
    <w:p w14:paraId="0B8BADC7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整合我省教学科研院所等技术力量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，到有关县市区开展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田间肥效试验260个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。其中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包括水稻化肥利用率试验、经济作物“2+X”田间肥效试验、肥效校正试验、中微量元素单因子肥效试验以及新型肥料试验。组织专家制定不同类型田间试验技术规程，强化田间试验日常管理，规范取样、测产工作，土壤和植株样品相关指标交由第三方专业机构进行检测评价，及时汇总分析相关试验数据，为全省肥料利用率测算工作提供数据支撑。整理分析近年来的田间试验、土壤植株测试、农户调查等数据信息，摸清土壤养分变化和作物养分吸收规律。充分挖掘基础数据信息，以县为单位定期修订完善养分丰缺和推荐施肥指标体系。根据数据挖掘结果，优化氮磷钾及中微量元素比例，调整配方肥养分形态配合，强化基肥追肥合理运筹，依托我省开发的“施肥博士”App或微信小程序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（见附件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给出精准施肥方案，引导农民按“方”施肥。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同时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强化农企对接，促进配方肥生产和推广应用。</w:t>
      </w:r>
    </w:p>
    <w:p w14:paraId="3E7D72B0">
      <w:pPr>
        <w:adjustRightInd w:val="0"/>
        <w:snapToGrid w:val="0"/>
        <w:spacing w:line="590" w:lineRule="exact"/>
        <w:ind w:firstLine="632" w:firstLineChars="200"/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（二）创新工作方式，扎实推进“三新”集成配套落地。</w:t>
      </w:r>
    </w:p>
    <w:p w14:paraId="7F2049DD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集成推广施肥新技术、新产品、新机具，创建“三新”样板，形成有规模、易推广、可复制的“三新”技术模式。在实施化肥减量增效项目的同时，结合农业生产托管服务和绿色种养循环农业试点项目，选择基础条件优、种植产业代表性强、技术支撑好的地区，围绕当地主栽农作物，集成测土配方、营养诊断以及增施有机肥、绿肥替代等新技术，配套缓控释肥料、微生物肥料、水溶性肥料等新型肥料，采取侧深施肥、种肥同播、水肥一体化、无人机喷(撒)施等新方式，强化机艺融合、技物结合、物械配合，提高肥料利用效率，拟在全省打造95万亩次以上“三新”示范样板，筛选示范应用效果良好的化肥减量增效“三新”模式，通过政策引导、示范带动等多种方式加大推广力度，促进化肥减量增效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华南农业大学、广东省农业科学院农业资源与环境研究所、仲恺农业工程学院作为化肥减量增效技术支撑单位，为各“三新”项目示范县建设提供技术培训和服务。</w:t>
      </w:r>
    </w:p>
    <w:p w14:paraId="30661959">
      <w:pPr>
        <w:adjustRightInd w:val="0"/>
        <w:snapToGrid w:val="0"/>
        <w:spacing w:line="590" w:lineRule="exact"/>
        <w:ind w:firstLine="632" w:firstLineChars="200"/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（三）设立评价指标，科学评估化肥减量化工作成效。</w:t>
      </w:r>
    </w:p>
    <w:p w14:paraId="48BD69FD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通过田间试验、农户调查等方式，准确获取相关数据，建立以测土配方施肥技术覆盖率、作物施肥强度、化肥利用率为主的评价指标，客观评估化肥减量化效果。</w:t>
      </w:r>
      <w:r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32"/>
          <w:szCs w:val="32"/>
        </w:rPr>
        <w:t>强化肥效监测。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按照“统筹规划、区域设点、综合试验”要求，统筹安排化肥利用率测算工作，落实好水稻化肥利用率试验，为科学测算化肥利用率积累数据。</w:t>
      </w:r>
      <w:r>
        <w:rPr>
          <w:rFonts w:hint="eastAsia" w:ascii="仿宋_GB2312" w:hAnsi="仿宋_GB2312" w:eastAsia="仿宋_GB2312" w:cs="仿宋_GB2312"/>
          <w:b/>
          <w:bCs/>
          <w:snapToGrid w:val="0"/>
          <w:color w:val="auto"/>
          <w:kern w:val="0"/>
          <w:sz w:val="32"/>
          <w:szCs w:val="32"/>
        </w:rPr>
        <w:t>深化施肥调查。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优化农户施肥调查方式方法，综合考虑作物类型、种植制度、施肥主体等因素，以种植大户、家庭农场、专业合作社等为主，科学合理安排农户施肥调查点位，优化覆盖面，通过“施肥监测通”小程序(二维码见附件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)，开展农户施肥情况和肥料使用效果调查监测。充分发挥教学科研单位、农技驿站、地方分院等指导引领作用，通过培训提升基层农技人员素质，提高调查结果准确度。充分发挥科学施肥专家指导组（名单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见附件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）作用，建立数据审核会商制度，确保数据科学准确，符合实际。</w:t>
      </w:r>
    </w:p>
    <w:p w14:paraId="0558E395">
      <w:pPr>
        <w:adjustRightInd w:val="0"/>
        <w:snapToGrid w:val="0"/>
        <w:spacing w:line="590" w:lineRule="exact"/>
        <w:ind w:firstLine="632" w:firstLineChars="200"/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（四）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  <w:lang w:eastAsia="zh-CN"/>
        </w:rPr>
        <w:t>拓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宽宣传渠道，多种模式推广科学施肥技术。</w:t>
      </w:r>
    </w:p>
    <w:p w14:paraId="7DC95B48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深入推进“百县千乡万户”科学施肥培训行动，省、市、县农业农村部门“三级联动”，科研教学、行业协会、肥料企业“三方互动”，统筹推进宣传与培训工作。“三新”示范项目县要依托经验丰富的省级及以上媒体平台，借助省级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技术支撑单位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力量，通过田间讲堂直播、室内教学、微信公众号、抖音直播等形式，开展科学施肥技术培训，每个项目县分作物开展不少于2场的科学施肥技术田头直播课；同时总结“三新”示范县的成效和典型技术模式，每个“三新”示范县开展不少于1次专题或视频宣传，形成化肥减量化典型案例，通过媒体宣传报道，形成可复制、可推广的经验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非项目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地市、县区通过网站、公众号、挂图、宣传单、施肥建议卡、小册子、树标志牌等方式，向广大农民宣传科学施肥知识。同时继续向社会宣传推介“施肥博士”微信小程序（二维码见附件2）或App，指导使用智能化施肥专家系统，推动“施肥博士”进村入户，继续在村民较为集中、显眼位置，以墙报、公开栏等多种形式展示“施肥博士”的用法，让农民方便、简捷、有效掌握精准施肥知识，科学施用化肥，努力解决推荐施肥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最后一公里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技术难题。</w:t>
      </w:r>
    </w:p>
    <w:p w14:paraId="283E3E69">
      <w:pPr>
        <w:adjustRightInd w:val="0"/>
        <w:snapToGrid w:val="0"/>
        <w:spacing w:line="590" w:lineRule="exact"/>
        <w:ind w:firstLine="632" w:firstLineChars="200"/>
        <w:rPr>
          <w:rFonts w:hint="eastAsia" w:ascii="黑体" w:hAnsi="黑体" w:eastAsia="黑体" w:cs="黑体"/>
          <w:snapToGrid w:val="0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snapToGrid w:val="0"/>
          <w:color w:val="auto"/>
          <w:kern w:val="0"/>
          <w:sz w:val="32"/>
          <w:szCs w:val="32"/>
        </w:rPr>
        <w:t>四、资金安排和使用</w:t>
      </w:r>
    </w:p>
    <w:p w14:paraId="1CEF9672">
      <w:pPr>
        <w:widowControl w:val="0"/>
        <w:adjustRightInd w:val="0"/>
        <w:snapToGrid w:val="0"/>
        <w:spacing w:line="568" w:lineRule="exact"/>
        <w:ind w:firstLine="632" w:firstLineChars="200"/>
        <w:jc w:val="both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2023年化肥减量增效项目资金2909万元，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项目资金已经通过《广东省财政厅关于安排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2023年中央财政耕地建设与利用资金的通知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》（粤财农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〔2023〕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72号）下达，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项目任务见附件1。项目资金使用作如下规定：</w:t>
      </w:r>
    </w:p>
    <w:p w14:paraId="5BA337FA">
      <w:pPr>
        <w:adjustRightInd w:val="0"/>
        <w:snapToGrid w:val="0"/>
        <w:spacing w:line="568" w:lineRule="exact"/>
        <w:ind w:firstLine="632" w:firstLineChars="200"/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（一）测土配方施肥基础工作，资金695.2万元</w:t>
      </w:r>
    </w:p>
    <w:p w14:paraId="6D8561E5">
      <w:pPr>
        <w:adjustRightInd w:val="0"/>
        <w:snapToGrid w:val="0"/>
        <w:spacing w:line="568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1.农户施肥情况调查，资金132万元。全省调查农户8250户以上（各市、县任务由省农业环境与耕地质量保护中心另文印发），农户调查费用约160元/户。资金主要用于支付劳务费、差旅费、印刷费、技术培训、数据录入等所产生的费用。</w:t>
      </w:r>
    </w:p>
    <w:p w14:paraId="6369D5F5">
      <w:pPr>
        <w:adjustRightInd w:val="0"/>
        <w:snapToGrid w:val="0"/>
        <w:spacing w:line="568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2.田间试验样品检测，资金69.2万元。检测田间试验土壤样品260个，每个500元；检测植株样品2810个，每个200元。其中：省农业科学院农业质量标准与监测技术研究所检测植株样2810个样品，资金56.2万元；高州市农业农村局检测土壤样品260个样品，资金13.0万元。资金主要用于样品处理、检测和技术培训，包括购置（或维修）仪器设备、化验耗材（试剂、易耗品等）、样品运输、劳务费、差旅费、印刷费、水电费、咨询费、邮寄费等。</w:t>
      </w:r>
    </w:p>
    <w:p w14:paraId="5F721E85">
      <w:pPr>
        <w:adjustRightInd w:val="0"/>
        <w:snapToGrid w:val="0"/>
        <w:spacing w:line="568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3.田间试验，资金494万元。开展田间肥效试验260个，每个1.9万元。华南农业大学承担90个试验，资金171万元；省农科院农业资源与环境研究所承担90个试验，资金171万元；仲恺农业工程学院承担80个试验，资金152万元。资金主要用于试验布置、技术培训、样品检测、报告撰写，包括租赁费、劳务费、差旅费、交通费、检测费、水电费、咨询费、印刷费、邮寄费等。</w:t>
      </w:r>
    </w:p>
    <w:p w14:paraId="580BE7FB">
      <w:pPr>
        <w:adjustRightInd w:val="0"/>
        <w:snapToGrid w:val="0"/>
        <w:spacing w:line="590" w:lineRule="exact"/>
        <w:ind w:firstLine="632" w:firstLineChars="200"/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（二）化肥减量增效“三新”配套升级版重点示范县建设，资金2128万元</w:t>
      </w:r>
    </w:p>
    <w:p w14:paraId="0BCA2896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14个化肥减量增效“三新”配套升级版重点示范县，每个县安排资金152万元。具体任务：在示范区集成推广科学施肥新技术、新产品、新机具，提供施肥新服务。资金使用：一是物化投入补助。对开展测土配方施肥服务，应用化肥减量增效技术模式需要的作物专用肥、配方肥、有机肥料、水溶肥料等纳入物化补助范围，按照市场价格的10～20％予以补助，缓释肥料按照市场价格的20％予以补助；对开展水稻机械插秧同步侧深施肥技术示范的，每亩补助机械作业费40～50元。二是社会化服务补助。对肥料生产企业、社会化服务组织、新型农业经营主体等开展配方肥、缓释肥统配统施服务进行补助，每亩补助资金30～40元。三是试验、技术推广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媒体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宣传培训等服务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给予资金支持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。对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省级技术支撑单位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开展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田间试验、技术推广服务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，省级及以上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主流媒体宣传培训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服务，宣传单页以及标识牌制作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等给予适当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资金支持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。</w:t>
      </w:r>
    </w:p>
    <w:p w14:paraId="787B6F93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（三）推广应用测土配方施肥技术，85.8万元。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具体任务：开展宣传培训，示范推广测土配方施肥技术。资金主要用于宣传单页、挂图制作、技术培训等。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资金分配依据按照各地耕地面积比例分配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（各市、县任务由省农业环境与耕地质量保护中心另文印发）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。</w:t>
      </w:r>
    </w:p>
    <w:p w14:paraId="1CA7C5C4">
      <w:pPr>
        <w:adjustRightInd w:val="0"/>
        <w:snapToGrid w:val="0"/>
        <w:spacing w:line="590" w:lineRule="exact"/>
        <w:ind w:firstLine="632" w:firstLineChars="200"/>
        <w:rPr>
          <w:rFonts w:hint="eastAsia" w:ascii="黑体" w:hAnsi="黑体" w:eastAsia="黑体" w:cs="黑体"/>
          <w:snapToGrid w:val="0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snapToGrid w:val="0"/>
          <w:color w:val="auto"/>
          <w:kern w:val="0"/>
          <w:sz w:val="32"/>
          <w:szCs w:val="32"/>
        </w:rPr>
        <w:t>五、工作要求</w:t>
      </w:r>
    </w:p>
    <w:p w14:paraId="7197C171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按照“省负总责、地市督导、县抓落实”的责任机制，层层落实属地责任，构建上下联动、共同推进的工作机制。</w:t>
      </w:r>
    </w:p>
    <w:p w14:paraId="0F64509B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（一）提高思想认识，加强组织领导。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肥料使用情况是美丽中国建设评估、生态文明建设年度评价、土壤污染防治行动计划实施情况评估、食品安全工作评议等考核的重要内容，主体责任在市、县级人民政府。各地要高度重视，充分认识到做好化肥减量增效工作对粮食安全、农产品安全、生态文明建设和现代农业发展中的重要作用，加强组织领导，明确职责分工。各级农业农村主管部门要认真研究、系统谋划化肥减量增效工作，创新工作方法，细化相关措施，千方百计把不合理的施肥量降下来，切实降低生产成本。由于项目资金、示范总面积变动较大，请化肥减量增效“三新”配套重点示范县适当调整实施方案（包括实施作物、实施范围、工作进度等），并在6月30日前加盖公章报省农业环境与耕地质量保护中心备案。</w:t>
      </w:r>
    </w:p>
    <w:p w14:paraId="0D522FBD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（二）重点打造样板，强化示范带动。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选择特色主栽作物连片种植区域，优选配方肥、缓释肥、水溶肥、生物肥料等新产品，完善有机肥施用机械和水肥一体化设施，示范推广水稻侧深施肥、机械施肥、肥药混喷、水肥一体化、一次性施肥等新技术，集成一批有机无机结合、水肥耦合、速效缓效配合、农机农艺融合的新模式，重点打造化肥减量增效“三新”配套示范区。示范区做到有专家指导、有示范对比、有标示牌，并在关键农时季节，组织新型农业经营主体和农民召开现场观摩会，展示减肥增效效果。各地要及时梳理总结化肥减量增效升级版的好经验、好做法，形成典型案例，进行宣传推广，扩大测土配方施肥影响力。</w:t>
      </w:r>
    </w:p>
    <w:p w14:paraId="67E42358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b/>
          <w:bCs/>
          <w:snapToGrid/>
          <w:color w:val="auto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（三）更新完善数据，强化技术支撑。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分析整理测土配方施肥基础数据，完善主要作物施肥方案和水稻、茶叶氮肥定额用量。更新、完善全省测土配方施肥数据库，优化测土配方施肥专家系统（微信小程序和手机App）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（见附件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，以现代化信息手段全面提升我省测土配方施肥信息化服务水平。各级肥料技术推广部门要适时发布施肥建议，指导农民使用我省测土配方施肥专家系统，提高农民科学用肥水平。</w:t>
      </w:r>
    </w:p>
    <w:p w14:paraId="5D7E794A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napToGrid/>
          <w:color w:val="auto"/>
          <w:kern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napToGrid/>
          <w:color w:val="auto"/>
          <w:kern w:val="0"/>
          <w:sz w:val="32"/>
          <w:szCs w:val="32"/>
          <w:lang w:val="en-US" w:eastAsia="zh-CN"/>
        </w:rPr>
        <w:t>四</w:t>
      </w:r>
      <w:r>
        <w:rPr>
          <w:rFonts w:hint="eastAsia" w:ascii="楷体_GB2312" w:hAnsi="楷体_GB2312" w:eastAsia="楷体_GB2312" w:cs="楷体_GB2312"/>
          <w:b w:val="0"/>
          <w:bCs w:val="0"/>
          <w:snapToGrid/>
          <w:color w:val="auto"/>
          <w:kern w:val="0"/>
          <w:sz w:val="32"/>
          <w:szCs w:val="32"/>
          <w:lang w:eastAsia="zh-CN"/>
        </w:rPr>
        <w:t>）加强信息调度，强化监督检查。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省级主管部门按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一季一调度、半年一通报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对地市农业农村部门和各项目承担单位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化肥减量化工作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开展信息调度，及时掌握任务落实、资金使用、工作进度等情况，同时对各项目承担单位在项目实施前、中、后期开展督导调研，发现问题及时督促整改、限期整改，严把各个环节质量关，确保化肥减量化工作取得实效。</w:t>
      </w:r>
    </w:p>
    <w:p w14:paraId="6B579B88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  <w:lang w:eastAsia="zh-CN"/>
        </w:rPr>
        <w:t>五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）规范资金使用，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  <w:lang w:eastAsia="zh-CN"/>
        </w:rPr>
        <w:t>及时总结验收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强化资金使用监管，加强绩效考核，保障资金用途规范。根据农业农村部制订的《农业相关转移支付绩效管理工作规程（试行）》（农计财便函〔2022〕396 号）相关要求，加强绩效运行监控。请各市督促辖区内有关县（市、区）每月25日前在农业农村部转移支付管理平台（网址：zyzf.xnzb.org.cn）填报资金支出进度、绩效完成情况等信息，填报化肥减量增效工作进展情况表（见附件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），并于2023年12月10日前报送本年度项目总结和绩效自评报告。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化肥减量增效“三新”示范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项目实施结束后，由地级市农业农村部门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根据《广东省农业农村厅专项资金项目验收管理办法（试行）》相关要求，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组织项目验收，重点评估各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示范县工作任务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完成情况、实施效果、标牌树立、资金到位、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补贴物资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>、档案建立等落实情况，主推技术模式确立与推广情况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eastAsia="zh-CN"/>
        </w:rPr>
        <w:t>；省级教学科研单位完成田间试验和样品检测任务后，由其主管部门组织验收。</w:t>
      </w:r>
    </w:p>
    <w:p w14:paraId="4C9AC705">
      <w:pPr>
        <w:wordWrap/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bookmarkStart w:id="2" w:name="_GoBack"/>
      <w:bookmarkEnd w:id="2"/>
    </w:p>
    <w:p w14:paraId="27A250F3">
      <w:pPr>
        <w:wordWrap/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</w:p>
    <w:p w14:paraId="03567FC8">
      <w:pPr>
        <w:wordWrap/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</w:p>
    <w:p w14:paraId="13413C8A">
      <w:pPr>
        <w:pStyle w:val="2"/>
        <w:keepNext w:val="0"/>
        <w:keepLines w:val="0"/>
        <w:adjustRightInd w:val="0"/>
        <w:snapToGrid w:val="0"/>
        <w:spacing w:before="0" w:after="0"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</w:p>
    <w:p w14:paraId="61115C43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</w:p>
    <w:p w14:paraId="2D66BDC9">
      <w:pPr>
        <w:pStyle w:val="2"/>
        <w:keepNext w:val="0"/>
        <w:keepLines w:val="0"/>
        <w:adjustRightInd w:val="0"/>
        <w:snapToGrid w:val="0"/>
        <w:spacing w:before="0" w:after="0"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</w:p>
    <w:p w14:paraId="1D8184E3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</w:p>
    <w:p w14:paraId="7DD831DE">
      <w:pPr>
        <w:pStyle w:val="2"/>
        <w:keepNext w:val="0"/>
        <w:keepLines w:val="0"/>
        <w:adjustRightInd w:val="0"/>
        <w:snapToGrid w:val="0"/>
        <w:spacing w:before="0" w:after="0"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</w:p>
    <w:p w14:paraId="0807C7F2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</w:p>
    <w:p w14:paraId="5C71BE03">
      <w:pPr>
        <w:wordWrap/>
        <w:adjustRightInd w:val="0"/>
        <w:snapToGrid w:val="0"/>
        <w:spacing w:line="590" w:lineRule="exact"/>
        <w:ind w:firstLine="0" w:firstLineChars="0"/>
        <w:rPr>
          <w:rFonts w:hint="eastAsia" w:ascii="黑体" w:hAnsi="黑体" w:eastAsia="黑体" w:cs="黑体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br w:type="page"/>
      </w:r>
      <w:r>
        <w:rPr>
          <w:rFonts w:hint="eastAsia" w:ascii="黑体" w:hAnsi="黑体" w:eastAsia="黑体" w:cs="黑体"/>
          <w:snapToGrid w:val="0"/>
          <w:color w:val="auto"/>
          <w:kern w:val="0"/>
          <w:sz w:val="32"/>
          <w:szCs w:val="32"/>
        </w:rPr>
        <w:t>附件1</w:t>
      </w:r>
    </w:p>
    <w:p w14:paraId="00783749">
      <w:pPr>
        <w:wordWrap/>
        <w:adjustRightInd w:val="0"/>
        <w:snapToGrid w:val="0"/>
        <w:spacing w:line="590" w:lineRule="exact"/>
        <w:ind w:firstLine="872" w:firstLineChars="20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auto"/>
          <w:kern w:val="0"/>
          <w:sz w:val="44"/>
          <w:szCs w:val="44"/>
        </w:rPr>
      </w:pPr>
    </w:p>
    <w:p w14:paraId="6DFDEE60">
      <w:pPr>
        <w:adjustRightInd w:val="0"/>
        <w:snapToGrid w:val="0"/>
        <w:spacing w:line="59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auto"/>
          <w:w w:val="9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auto"/>
          <w:w w:val="90"/>
          <w:kern w:val="0"/>
          <w:sz w:val="44"/>
          <w:szCs w:val="44"/>
        </w:rPr>
        <w:t>广东省2023年化肥减量增效项目任务安排表</w:t>
      </w:r>
    </w:p>
    <w:p w14:paraId="26CB0388">
      <w:pPr>
        <w:adjustRightInd w:val="0"/>
        <w:snapToGrid w:val="0"/>
        <w:spacing w:line="590" w:lineRule="exact"/>
        <w:ind w:firstLine="412" w:firstLineChars="200"/>
        <w:jc w:val="right"/>
        <w:rPr>
          <w:rFonts w:hint="eastAsia" w:ascii="仿宋_GB2312" w:hAnsi="仿宋_GB2312" w:eastAsia="仿宋_GB2312" w:cs="仿宋_GB2312"/>
          <w:snapToGrid w:val="0"/>
          <w:color w:val="auto"/>
          <w:kern w:val="0"/>
          <w:sz w:val="21"/>
          <w:szCs w:val="21"/>
        </w:rPr>
      </w:pPr>
    </w:p>
    <w:p w14:paraId="5D17296D">
      <w:pPr>
        <w:adjustRightInd w:val="0"/>
        <w:snapToGrid w:val="0"/>
        <w:spacing w:line="590" w:lineRule="exact"/>
        <w:ind w:firstLine="412" w:firstLineChars="200"/>
        <w:jc w:val="right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21"/>
          <w:szCs w:val="21"/>
        </w:rPr>
        <w:t>单位：万元</w:t>
      </w:r>
    </w:p>
    <w:tbl>
      <w:tblPr>
        <w:tblStyle w:val="4"/>
        <w:tblW w:w="5216" w:type="pct"/>
        <w:jc w:val="cente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4"/>
        <w:gridCol w:w="752"/>
        <w:gridCol w:w="884"/>
        <w:gridCol w:w="1921"/>
        <w:gridCol w:w="2658"/>
        <w:gridCol w:w="908"/>
        <w:gridCol w:w="1680"/>
      </w:tblGrid>
      <w:tr w14:paraId="3B33AA6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tblHeader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833DA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序号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3E26A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市县别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A5110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项目承</w:t>
            </w:r>
          </w:p>
          <w:p w14:paraId="0B057D1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担单位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6168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建设内容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11F4D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绩效目标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A9C60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资金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AA7EA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备注</w:t>
            </w:r>
          </w:p>
        </w:tc>
      </w:tr>
      <w:tr w14:paraId="419EE15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AFFC1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B3066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1"/>
              </w:rPr>
              <w:t>全  省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93DA5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678C7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316D4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6C45B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1"/>
              </w:rPr>
              <w:t>2909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6BB218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</w:tr>
      <w:tr w14:paraId="6FC1336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29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8CCF7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1"/>
              </w:rPr>
              <w:t>一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158BF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1"/>
              </w:rPr>
              <w:t>各地市合计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455BAD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023CBE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006921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5EAEA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1"/>
              </w:rPr>
              <w:t>2358.8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20168D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</w:tr>
      <w:tr w14:paraId="5F4ADDA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34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7933C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9FB9C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广州市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2379C7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广州市农业农村局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FB1ED6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推广测土配方施肥，实施化肥减量增效“三新”配套示范，开展农户施肥情况调查。</w:t>
            </w:r>
          </w:p>
          <w:p w14:paraId="62C9BFBC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ab/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DF470E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1.推广测土配方施肥面积156万亩以上，其中施肥新技术新产品新机具推广面积2万亩以上；科学施肥促进降本增效明显，农民对化肥减量增效实施满意率90%以上。</w:t>
            </w:r>
          </w:p>
          <w:p w14:paraId="5E20B3AE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2.调查农户施肥情况220户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8A669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5.808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C714F5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其中：白云区0.792万元、黄埔区0.264万元、花都区0.66万元</w:t>
            </w:r>
          </w:p>
          <w:p w14:paraId="45D18641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番禺区0.264万元；南沙区1.056万元；从化区1.188万元；增城区1.584万元。</w:t>
            </w:r>
          </w:p>
        </w:tc>
      </w:tr>
      <w:tr w14:paraId="174181A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86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DE9B8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5C9E4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珠海市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6A2701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珠海市农业农村局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6097D8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推广测土配方施肥，实施化肥减量增效“三新”配套示范，开展农户施肥情况调查。</w:t>
            </w:r>
          </w:p>
          <w:p w14:paraId="4956CA7B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4CC4DB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1.推广测土配方施肥面积20万亩以上，其中施肥新技术新产品新机具推广面积2万亩以上；科学施肥促进降本增效明显，农民对化肥减量增效实施满意率90%以上。</w:t>
            </w:r>
          </w:p>
          <w:p w14:paraId="4BB394E4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2.调查农户施肥情况30户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03E17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0.792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31FAFD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其中：金湾区0.264万元；斗门区0.528万元</w:t>
            </w:r>
          </w:p>
        </w:tc>
      </w:tr>
      <w:tr w14:paraId="4022E69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31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30ADD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D5E4C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汕头市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2F3CD2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汕头市农业农村局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52E809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推广测土配方施肥，实施化肥减量增效“三新”配套示范，开展农户施肥情况调查。</w:t>
            </w:r>
          </w:p>
          <w:p w14:paraId="00EEAC96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113D38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1.推广测土配方施肥面积89万亩以上，其中施肥新技术新产品新机具推广面积1万亩以上；科学施肥促进降本增效明显，农民对化肥减量增效实施满意率90%以上。</w:t>
            </w:r>
          </w:p>
          <w:p w14:paraId="67B7E3AE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2.调查农户施肥情况120户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1BADA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3.168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E0214B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其中：金平区0.132万元；龙湖区0.132万元；澄海区0.528万元；濠江区0.132万元；潮阳区1.188万元；潮南区1.056万元。</w:t>
            </w:r>
          </w:p>
        </w:tc>
      </w:tr>
      <w:tr w14:paraId="46FF84E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34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D1777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E1153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佛山市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890BC9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佛山市农业农村局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3AE612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1.推广测土配方施肥，实施化肥减量增效“三新”配套示范，开展农户施肥情况调查；</w:t>
            </w:r>
          </w:p>
          <w:p w14:paraId="660B9841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2.高明区创建化肥减量增效示范区。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D48A4C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1.推广测土配方施肥面积65万亩以上，其中施肥新技术新产品新机具推广面积4万亩以上；科学施肥促进降本增效明显，农民对化肥减量增效实施满意率90%以上。</w:t>
            </w:r>
          </w:p>
          <w:p w14:paraId="032AF4E0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2.调查农户施肥情况95户；</w:t>
            </w:r>
          </w:p>
          <w:p w14:paraId="01B8BB3B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3.高明区示范推广施肥新技术新产品新机具面积3万亩以上，示范区配方肥到位率80%以上，化肥用量减少3%以上，化肥利用率达到40%以上，带动全县化肥用量继续实现负增长。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6258A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val="e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154.508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EA05D9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其中：南海区0.66万元；顺德区0.132万元；高明区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val="en" w:bidi="ar"/>
              </w:rPr>
              <w:t>15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2.924万元；三水区0.792万元。</w:t>
            </w:r>
          </w:p>
        </w:tc>
      </w:tr>
      <w:tr w14:paraId="3EC1159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1D1E2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4DD5E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韶关市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F04158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韶关市农业农村局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88B02B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1.推广测土配方施肥，实施化肥减量增效“三新”配套示范，开展农户施肥情况调查。</w:t>
            </w:r>
          </w:p>
          <w:p w14:paraId="71BE84C3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2.乐昌市、始兴县、翁源县创建化肥减量增效示范区。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A7C54B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1.推广测土配方施肥面积518万亩以上，其中施肥新技术新产品新机具推广面积12万亩以上；科学施肥促进降本增效明显，农民对化肥减量增效实施满意率90%以上。</w:t>
            </w:r>
          </w:p>
          <w:p w14:paraId="73BCAD51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2.调查农户施肥情况700户；</w:t>
            </w:r>
          </w:p>
          <w:p w14:paraId="0C4E60E1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3.乐昌市、始兴县、翁源县各示范推广施肥新技术新产品新机具面积3万亩以上，示范区配方肥到位率80%以上，化肥用量减少3%以上，化肥利用率达到40%以上，带动全县化肥用量继续实现负增长。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D78E6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474.48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DE1055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其中：浈江区0.528万元；武江区0.528万元；曲江区1.452万元；乐昌市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val="en" w:bidi="ar"/>
              </w:rPr>
              <w:t>15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5.168万元；南雄市4.224万元；仁化县1.452万元；始兴县153.584万元；翁源县154.64万元；新丰县1.056万元；乳源县1.848万元。</w:t>
            </w:r>
          </w:p>
        </w:tc>
      </w:tr>
      <w:tr w14:paraId="0758A5C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F1069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0E8D3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河源市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168AF4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河源市农业农村局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23ACA4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1.推广测土配方施肥，实施化肥减量增效“三新”配套示范，开展农户施肥情况调查；</w:t>
            </w:r>
          </w:p>
          <w:p w14:paraId="7C3692B6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2.龙川县创建化肥减量增效示范区。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DF2417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1.推广测土配方施肥面积341万亩以上，其中施肥新技术新产品新机具推广面积4万亩以上；科学施肥促进降本增效明显，农民对化肥减量增效实施满意率90%以上。</w:t>
            </w:r>
          </w:p>
          <w:p w14:paraId="4B9BE818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2.调查农户施肥情况465户；</w:t>
            </w:r>
          </w:p>
          <w:p w14:paraId="68DECFA8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3.龙川县示范推广施肥新技术新产品新机具面积3万亩以上，示范区配方肥到位率80%以上，化肥用量减少3%以上，化肥利用率达到40%以上，带动全县化肥用量继续实现负增长。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64779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164.276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DD2722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其中：源城区0.264万元；东源县2.244万元；和平县1.98万元；龙川县155.564万元；紫金县2.64万元；连平县1.584万元。</w:t>
            </w:r>
          </w:p>
        </w:tc>
      </w:tr>
      <w:tr w14:paraId="465F3C8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01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48A8D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EAB09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梅州市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4918ED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梅州市农业农村局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9AD8DE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推广测土配方施肥，实施化肥减量增效“三新”配套示范，开展农户施肥情况调查。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C1F13B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1.推广测土配方施肥面积344万亩以上，其中施肥新技术新产品新机具推广面积2万亩以上；科学施肥促进降本增效明显，农民对化肥减量增效实施满意率90%以上。</w:t>
            </w:r>
          </w:p>
          <w:p w14:paraId="2375720F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2.调查农户施肥情况480户。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CC78C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12.672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C50C55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其中：梅江区0.264万元；梅县区1.32万元；兴宁市3.036万元；平远县1.32万元；蕉岭县0.66万元；大埔县1.056万元；丰顺县1.32万元；五华县3.696万元。</w:t>
            </w:r>
          </w:p>
        </w:tc>
      </w:tr>
      <w:tr w14:paraId="4CC6805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CACE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13971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惠州市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BD3568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惠州市农业农村局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C135E8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1.推广测土配方施肥，实施化肥减量增效“三新”配套示范，开展农户施肥情况调查；</w:t>
            </w:r>
          </w:p>
          <w:p w14:paraId="015F682D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2.惠阳区、龙门县创建化肥减量增效示范区。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ab/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2BAF8B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1.推广测土配方施肥面积293万亩以上，其中施肥新技术新产品新机具推广面积9万亩以上；科学施肥促进降本增效明显，农民对化肥减量增效实施满意率90%以上。</w:t>
            </w:r>
          </w:p>
          <w:p w14:paraId="0C5FDCC6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2.调查农户施肥情况400户；</w:t>
            </w:r>
          </w:p>
          <w:p w14:paraId="7351072D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3.惠阳区、龙门县各示范推广施肥新技术新产品新机具面积3万亩以上，示范区配方肥到位率80%以上，化肥用量减少3%以上，化肥利用率达到40%以上，带动全县化肥用量继续实现负增长。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BD640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314.56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7F71C9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其中：惠城区1.848万元；惠阳区153.056万元；惠东县2.772万元；博罗县3.432万元；龙门县153.452万元。</w:t>
            </w:r>
          </w:p>
          <w:p w14:paraId="09E85E57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  <w:tr w14:paraId="1775690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41E03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9CD97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汕尾市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B36C9E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汕尾市农业农村局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3685E9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1.推广测土配方施肥，实施化肥减量增效“三新”配套示范，开展农户施肥情况调查；</w:t>
            </w:r>
          </w:p>
          <w:p w14:paraId="09BD8402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2.海丰县创建化肥减量增效示范区。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3D5620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1.推广测土配方施肥面积245万亩以上，其中施肥新技术新产品新机具推广面积4万亩以上；科学施肥促进降本增效明显，农民对化肥减量增效实施满意率90%以上。</w:t>
            </w:r>
          </w:p>
          <w:p w14:paraId="7F4146BD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2.调查农户施肥情况335户；</w:t>
            </w:r>
          </w:p>
          <w:p w14:paraId="015C9120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3.海丰县示范推广施肥新技术新产品新机具面积3万亩以上，示范区配方肥到位率80%以上，化肥用量减少3%以上，化肥利用率达到40%以上，带动全县化肥用量继续实现负增长。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C3F1B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160.844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AA84BE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其中：城区0.396万元；陆丰市4.488万元；海丰县155.168万元；陆河县0.792万元。</w:t>
            </w:r>
          </w:p>
          <w:p w14:paraId="664838A7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  <w:tr w14:paraId="033FD07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0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9ADE9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454C9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东莞市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3167B1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东莞市农业农村局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0E6B2B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推广测土配方施肥，实施化肥减量增效“三新”配套示范，开展农户施肥情况调查。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2E3DFE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1.推广测土配方施肥面积29万亩以上，其中施肥新技术新产品新机具推广面积1万亩以上；科学施肥促进降本增效明显，农民对化肥减量增效实施满意率90%以上。</w:t>
            </w:r>
          </w:p>
          <w:p w14:paraId="1BE59AF2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2.调查农户施肥情况40户。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BC0FC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1.056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0A7CE2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  <w:tr w14:paraId="316042B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40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C9C1C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92013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中山市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FBBDE6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中山市农业农村局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BFC908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推广测土配方施肥，实施化肥减量增效“三新”配套示范，开展农户施肥情况调查。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9F7B87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1.推广测土配方施肥面积22万亩以上，其中施肥新技术新产品新机具推广面积1万亩以上；科学施肥促进降本增效明显，农民对化肥减量增效实施满意率90%以上。</w:t>
            </w:r>
          </w:p>
          <w:p w14:paraId="0A442C0E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2.调查农户施肥情况35户。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E0509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0.924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41F16B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  <w:tr w14:paraId="4FE026D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06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A89AC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88815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江门市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FFC347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江门市农业农村局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AF8D37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1.推广测土配方施肥，实施化肥减量增效“三新”配套示范，开展农户施肥情况调查；</w:t>
            </w:r>
          </w:p>
          <w:p w14:paraId="2B572F4B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2.新会区、恩平市创建化肥减量增效示范区。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E77AE6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1.推广测土配方施肥面积356万亩以上，其中施肥新技术新产品新机具推广面积10万亩以上；科学施肥促进降本增效明显，农民对化肥减量增效实施满意率90%以上。</w:t>
            </w:r>
          </w:p>
          <w:p w14:paraId="149FD6FA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2.调查农户施肥情况490户；</w:t>
            </w:r>
          </w:p>
          <w:p w14:paraId="147481E4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3.新会区、恩平市各示范推广施肥新技术新产品新机具面积3万亩以上，示范区配方肥到位率80%以上，化肥用量减少3%以上，化肥利用率达到40%以上，带动全县化肥用量继续实现负增长。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075DB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316.936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CD8F26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其中：蓬江区0.132万元；江海区0.132万元；新会区153.056万元；台山市5.544万元；开平市2.772万元；鹤山市0.924万元；恩平市154.376万元。</w:t>
            </w:r>
          </w:p>
          <w:p w14:paraId="5B861AB3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  <w:tr w14:paraId="5B6C127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32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58253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41B80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阳江市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971EA7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阳江市农业农村局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0538A4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推广测土配方施肥，实施化肥减量增效“三新”配套示范，开展农户施肥情况调查。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6AD502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1.推广测土配方施肥面积348万亩以上，其中施肥新技术新产品新机具推广面积7万亩以上；科学施肥促进降本增效明显，农民对化肥减量增效实施满意率90%以上。</w:t>
            </w:r>
          </w:p>
          <w:p w14:paraId="0C5D1F01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2.调查农户施肥情况475户。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E688D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12.54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025AEE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其中：江城区1.716万元；阳春市5.148万元；阳东区2.772万元；阳西县2.904万元。</w:t>
            </w:r>
          </w:p>
        </w:tc>
      </w:tr>
      <w:tr w14:paraId="16A8E66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07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A8D89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D68E9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湛江市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289C99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湛江市农业农村局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1B20C7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推广测土配方施肥，实施化肥减量增效“三新”配套示范，开展农户施肥情况调查。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18C3BD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1.推广测土配方施肥面积1343万亩以上，其中施肥新技术新产品新机具推广面积3万亩以上；科学施肥促进降本增效明显，农民对化肥减量增效实施满意率90%以上。</w:t>
            </w:r>
          </w:p>
          <w:p w14:paraId="0B168A3F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2.调查农户施肥情况1770户。</w:t>
            </w:r>
          </w:p>
          <w:p w14:paraId="480686C4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A7845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46.728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7BB911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其中：霞山区0.132万元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val="en-US" w:eastAsia="zh-CN" w:bidi="ar"/>
              </w:rPr>
              <w:t>;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麻章区2.112万元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val="en-US" w:eastAsia="zh-CN" w:bidi="ar"/>
              </w:rPr>
              <w:t>;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坡头区1.584万元；雷州市13.2万元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val="en-US" w:eastAsia="zh-CN" w:bidi="ar"/>
              </w:rPr>
              <w:t>;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廉江市8.712万元；吴川市3.564万元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val="en-US" w:eastAsia="zh-CN" w:bidi="ar"/>
              </w:rPr>
              <w:t>;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遂溪县9.504万元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val="en-US" w:eastAsia="zh-CN" w:bidi="ar"/>
              </w:rPr>
              <w:t>;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徐闻县7.92万元。</w:t>
            </w:r>
          </w:p>
        </w:tc>
      </w:tr>
      <w:tr w14:paraId="50995C0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98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D142B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8D599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茂名市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725A54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茂名市农业农村局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57815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1.推广测土配方施肥，实施化肥减量增效“三新”配套示范，开展农户施肥情况调查；</w:t>
            </w:r>
          </w:p>
          <w:p w14:paraId="57EC9405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高州市分别承担省下达土壤样品检测任务；</w:t>
            </w:r>
          </w:p>
          <w:p w14:paraId="643A8F87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3.茂南区创建化肥减量增效示范区。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EC6FD0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1.推广测土配方施肥面积533万亩以上，其中施肥新技术新产品新机具推广面积13万亩以上；科学施肥促进降本增效明显，农民对化肥减量增效实施满意率90%以上。</w:t>
            </w:r>
          </w:p>
          <w:p w14:paraId="463A4EF1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2.调查农户施肥情况720户；</w:t>
            </w:r>
          </w:p>
          <w:p w14:paraId="128DEC6C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3.高州市完成土壤样品检测260个。4.茂南区示范推广施肥新技术新产品新机具面积3万亩以上，示范区配方肥到位率80%以上，化肥用量减少3%以上，化肥利用率达到40%以上，带动全县化肥用量继续实现负增长。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05611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184.008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443A39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其中：茂南区153.584万元；信宜市3.168万元；高州市17.356万元；化州市5.148万元；电白区4.752万元。</w:t>
            </w:r>
          </w:p>
        </w:tc>
      </w:tr>
      <w:tr w14:paraId="1AC047D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65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C9D64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2BA51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肇庆市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E0E89B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肇庆市农业农村局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068B45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1.推广测土配方施肥，实施化肥减量增效“三新”配套示范，开展农户施肥情况调查；</w:t>
            </w:r>
          </w:p>
          <w:p w14:paraId="47CF95F9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2.广宁县、怀集县创建化肥减量增效示范区。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FC8718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1.推广测土配方施肥面积343万亩以上，其中施肥新技术新产品新机具推广面积7万亩以上；科学施肥促进降本增效明显，农民对化肥减量增效实施满意率90%以上。</w:t>
            </w:r>
          </w:p>
          <w:p w14:paraId="0187E532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2.调查农户施肥情况465户；</w:t>
            </w:r>
          </w:p>
          <w:p w14:paraId="242C8A6A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3.广宁县、怀集县各示范推广施肥新技术新产品新机具面积3万亩以上，示范区配方肥到位率80%以上，化肥用量减少3%以上，化肥利用率达到40%以上，带动全县化肥用量继续实现负增长。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8137D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316.276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A491BD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其中：鼎湖区0.264万元；四会市0.924万元；高要区2.112万元；广宁县153.584万元；德庆县1.32万元；封开县2.376万元；怀集县155.696万元。</w:t>
            </w:r>
          </w:p>
          <w:p w14:paraId="0C0AD282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  <w:tr w14:paraId="2321B2C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21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26F5E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F4C55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清远市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0E76D0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清远市农业农村局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290760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1.推广测土配方施肥，实施化肥减量增效“三新”配套示范，开展农户施肥情况调查；</w:t>
            </w:r>
          </w:p>
          <w:p w14:paraId="43131817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2.清新区创建化肥减量增效示范区。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26AAE5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1.推广测土配方施肥面积564万亩以上，其中施肥新技术新产品新机具推广面积7万亩以上；科学施肥促进降本增效明显，农民对化肥减量增效实施满意率90%以上。</w:t>
            </w:r>
          </w:p>
          <w:p w14:paraId="0E52335B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2.调查农户施肥情况765户；</w:t>
            </w:r>
          </w:p>
          <w:p w14:paraId="12F5A4AD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3.清新区示范推广施肥新技术新产品新机具面积3万亩以上，示范区配方肥到位率80%以上，化肥用量减少3%以上，化肥利用率达到40%以上，带动全县化肥用量继续实现负增长。</w:t>
            </w:r>
          </w:p>
          <w:p w14:paraId="345994B5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F97960">
            <w:pPr>
              <w:pStyle w:val="2"/>
              <w:keepNext w:val="0"/>
              <w:keepLines w:val="0"/>
              <w:adjustRightInd w:val="0"/>
              <w:snapToGrid w:val="0"/>
              <w:spacing w:before="0" w:after="0"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172.196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69A147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其中：清城区1.716万元；英德市6.6万元；连州市3.432万元；佛冈县1.056万元；清新区154.376万元；连山县0.924万元；连南县0.792万元；阳山县3.3万元。</w:t>
            </w:r>
          </w:p>
        </w:tc>
      </w:tr>
      <w:tr w14:paraId="700321C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58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C7C47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B49FC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潮州市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D8F441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潮州市农业农村局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1F0014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推广测土配方施肥，实施化肥减量增效“三新”配套示范，开展农户施肥情况调查。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090FF4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1.推广测土配方施肥面积59万亩以上，其中施肥新技术新产品新机具推广面积1万亩以上；科学施肥促进降本增效明显，农民对化肥减量增效实施满意率90%以上。</w:t>
            </w:r>
          </w:p>
          <w:p w14:paraId="7B13AE3D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2.调查农户施肥情况75户。</w:t>
            </w:r>
          </w:p>
          <w:p w14:paraId="1C543394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492DF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1.98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7F9CE6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其中：湘桥区0.132万元；饶平县1.056万元；潮安区0.792万元。</w:t>
            </w:r>
          </w:p>
          <w:p w14:paraId="3071F69B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  <w:tr w14:paraId="7D663F5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97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BF081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FD207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揭阳市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4204BC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揭阳市农业农村局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32F955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推广测土配方施肥，实施化肥减量增效“三新”配套示范，开展农户施肥情况调查。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AB7BAC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1.推广测土配方施肥面积195万亩以上，其中施肥新技术新产品新机具推广面积2万亩以上；科学施肥促进降本增效明显，农民对化肥减量增效实施满意率90%以上。</w:t>
            </w:r>
          </w:p>
          <w:p w14:paraId="22B98780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2.调查农户施肥情况255户。</w:t>
            </w:r>
          </w:p>
          <w:p w14:paraId="094B47CA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645E1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6.732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4554CA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其中：榕城区0.396万元；普宁市1.716万元；揭东区0.924万元；揭西县1.452万元；惠来县2.244万元。</w:t>
            </w:r>
          </w:p>
          <w:p w14:paraId="65485574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  <w:tr w14:paraId="3DFCDA6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4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43F3F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4440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云浮市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BFAF89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云浮市农业农村局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6CA8D2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推广测土配方施肥，实施化肥减量增效“三新”配套示范，开展农户施肥情况调查。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3F3975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1.推广测土配方施肥面积237万亩以上，其中施肥新技术新产品新机具推广面积3万亩以上；科学施肥促进降本增效明显，农民对化肥减量增效实施满意率90%以上。</w:t>
            </w:r>
          </w:p>
          <w:p w14:paraId="4E064BF1">
            <w:pPr>
              <w:adjustRightInd w:val="0"/>
              <w:snapToGrid w:val="0"/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2.调查农户施肥情况315户。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E65E4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8.316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F719E8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其中：云城区0.528万元；云安区1.056万元；罗定市4.224万元；新兴县1.32万元；郁南县1.188万元。</w:t>
            </w:r>
          </w:p>
          <w:p w14:paraId="2CB7ABD7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  <w:p w14:paraId="122792A8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  <w:tr w14:paraId="33030CB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17453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1"/>
              </w:rPr>
              <w:t>二、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9055A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1"/>
              </w:rPr>
              <w:t>省直单位合计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145A65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0F085A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CB2ED2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6A4C4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1"/>
                <w:szCs w:val="21"/>
              </w:rPr>
              <w:t>550.2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EDCBD2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  <w:tr w14:paraId="6D32BCD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20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EFCB9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auto"/>
                <w:kern w:val="0"/>
                <w:sz w:val="21"/>
                <w:szCs w:val="21"/>
              </w:rPr>
              <w:t>1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71787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省级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EE340B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华南农业大学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92F87F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开展90个田间肥效试验，包括水稻肥料利用率试验、经济作物“2+X”田间肥效试验、肥效校正试验、中微量元素单因子肥效试验等。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230F9F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完成90个田间肥效试验，及时汇总田间试验结果，提交试验报告，为合理施用化肥、提高肥料利用率、降低面源污染风险提供依据。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F4FA2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171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C0C6A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  <w:tr w14:paraId="7036328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93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E10B99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auto"/>
                <w:kern w:val="0"/>
                <w:sz w:val="21"/>
                <w:szCs w:val="21"/>
              </w:rPr>
              <w:t>2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5B12C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省级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B58B1A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省农科院农业资源与环境研究所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82C806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开展90个田间肥效试验，包括水稻肥料利用率试验、经济作物“2+X”田间肥效试验、肥效校正试验、中微量元素单因子肥效试验等。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A46DF6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完成90个田间肥效试验，及时汇总田间试验结果，提交试验报告，为合理施用化肥、提高肥料利用率、降低面源污染风险提供依据。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E564A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171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901E5F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  <w:tr w14:paraId="05E546B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12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29204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auto"/>
                <w:kern w:val="0"/>
                <w:sz w:val="21"/>
                <w:szCs w:val="21"/>
              </w:rPr>
              <w:t>3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EBEA26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省级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231A69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省农科院农业质量标准与监测技术研究所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26853F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承担植株样品检测任务。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A9BF94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按行业相关标准，完成植株样品检测2810个，提交检测报告。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D96C7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56.2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0D9847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  <w:tr w14:paraId="7DE6385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6" w:hRule="atLeast"/>
          <w:jc w:val="center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B0A9F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auto"/>
                <w:kern w:val="0"/>
                <w:sz w:val="21"/>
                <w:szCs w:val="21"/>
              </w:rPr>
              <w:t>4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26F90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省级</w:t>
            </w:r>
          </w:p>
        </w:tc>
        <w:tc>
          <w:tcPr>
            <w:tcW w:w="4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5B8923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bottom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仲恺农业工程学院</w:t>
            </w:r>
          </w:p>
        </w:tc>
        <w:tc>
          <w:tcPr>
            <w:tcW w:w="10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C6DDB2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开展80个田间肥效试验，包括水稻肥料利用率试验、经济作物“2+X”田间肥效试验、肥效校正试验以及中微量元素单因子肥效试验。</w:t>
            </w:r>
          </w:p>
        </w:tc>
        <w:tc>
          <w:tcPr>
            <w:tcW w:w="1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A5053E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</w:rPr>
              <w:t>完成80个田间肥效试验，及时汇总田间试验结果，提交试验报告，为合理施用化肥、提高肥料利用率、降低面源污染风险提供依据。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D962EC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  <w:t>152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1F6DEB">
            <w:pPr>
              <w:adjustRightInd w:val="0"/>
              <w:snapToGrid w:val="0"/>
              <w:spacing w:line="240" w:lineRule="auto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1"/>
                <w:szCs w:val="21"/>
                <w:lang w:bidi="ar"/>
              </w:rPr>
            </w:pPr>
          </w:p>
        </w:tc>
      </w:tr>
    </w:tbl>
    <w:p w14:paraId="6B4B0E73">
      <w:pPr>
        <w:pStyle w:val="7"/>
        <w:widowControl w:val="0"/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4C21FC3D">
      <w:pPr>
        <w:pStyle w:val="7"/>
        <w:widowControl w:val="0"/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1D5F23D9">
      <w:pPr>
        <w:pStyle w:val="7"/>
        <w:widowControl w:val="0"/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595435A8">
      <w:pPr>
        <w:pStyle w:val="7"/>
        <w:widowControl w:val="0"/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595CFAF5">
      <w:pPr>
        <w:spacing w:line="590" w:lineRule="exact"/>
        <w:ind w:firstLine="0" w:firstLineChars="0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Cs w:val="3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 w14:paraId="3AC323DB">
      <w:pPr>
        <w:adjustRightInd w:val="0"/>
        <w:snapToGrid w:val="0"/>
        <w:spacing w:line="590" w:lineRule="exact"/>
        <w:ind w:firstLine="632" w:firstLineChars="200"/>
        <w:jc w:val="both"/>
        <w:rPr>
          <w:rFonts w:hint="eastAsia" w:ascii="仿宋_GB2312" w:hAnsi="仿宋_GB2312" w:eastAsia="仿宋_GB2312" w:cs="仿宋_GB2312"/>
          <w:snapToGrid w:val="0"/>
          <w:color w:val="auto"/>
          <w:kern w:val="0"/>
          <w:szCs w:val="32"/>
        </w:rPr>
      </w:pPr>
    </w:p>
    <w:p w14:paraId="6B988993">
      <w:pPr>
        <w:adjustRightInd w:val="0"/>
        <w:snapToGrid w:val="0"/>
        <w:spacing w:line="590" w:lineRule="exact"/>
        <w:ind w:firstLine="0" w:firstLineChars="0"/>
        <w:jc w:val="center"/>
        <w:rPr>
          <w:rFonts w:hint="eastAsia" w:ascii="仿宋_GB2312" w:hAnsi="仿宋_GB2312" w:eastAsia="仿宋_GB2312" w:cs="仿宋_GB2312"/>
          <w:snapToGrid w:val="0"/>
          <w:color w:val="auto"/>
          <w:kern w:val="0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Cs w:val="32"/>
        </w:rPr>
        <w:t>施肥监测通二维码</w:t>
      </w:r>
    </w:p>
    <w:p w14:paraId="03FF46C8">
      <w:pPr>
        <w:pStyle w:val="7"/>
        <w:widowControl w:val="0"/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color w:val="auto"/>
          <w:szCs w:val="32"/>
        </w:rPr>
      </w:pPr>
      <w:r>
        <w:rPr>
          <w:rFonts w:hint="eastAsia" w:ascii="仿宋_GB2312" w:hAnsi="仿宋_GB2312" w:cs="仿宋_GB2312"/>
          <w:color w:val="auto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121285</wp:posOffset>
            </wp:positionV>
            <wp:extent cx="2495550" cy="2838450"/>
            <wp:effectExtent l="0" t="0" r="3810" b="11430"/>
            <wp:wrapTight wrapText="bothSides">
              <wp:wrapPolygon>
                <wp:start x="0" y="0"/>
                <wp:lineTo x="0" y="21455"/>
                <wp:lineTo x="21501" y="21455"/>
                <wp:lineTo x="21501" y="0"/>
                <wp:lineTo x="0" y="0"/>
              </wp:wrapPolygon>
            </wp:wrapTight>
            <wp:docPr id="1" name="图片 -214748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-21474826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C3E5D5">
      <w:pPr>
        <w:pStyle w:val="7"/>
        <w:widowControl w:val="0"/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5AD299F3">
      <w:pPr>
        <w:pStyle w:val="7"/>
        <w:widowControl w:val="0"/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3FCFFA61">
      <w:pPr>
        <w:pStyle w:val="7"/>
        <w:widowControl w:val="0"/>
        <w:adjustRightInd w:val="0"/>
        <w:snapToGrid w:val="0"/>
        <w:spacing w:line="590" w:lineRule="exact"/>
        <w:ind w:firstLine="632" w:firstLineChars="200"/>
        <w:jc w:val="both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37CDE695">
      <w:pPr>
        <w:pStyle w:val="7"/>
        <w:widowControl w:val="0"/>
        <w:adjustRightInd w:val="0"/>
        <w:snapToGrid w:val="0"/>
        <w:spacing w:line="590" w:lineRule="exact"/>
        <w:ind w:firstLine="632" w:firstLineChars="200"/>
        <w:jc w:val="both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6023D4A8">
      <w:pPr>
        <w:pStyle w:val="7"/>
        <w:widowControl w:val="0"/>
        <w:adjustRightInd w:val="0"/>
        <w:snapToGrid w:val="0"/>
        <w:spacing w:line="590" w:lineRule="exact"/>
        <w:ind w:firstLine="632" w:firstLineChars="200"/>
        <w:jc w:val="both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50A1B614">
      <w:pPr>
        <w:pStyle w:val="7"/>
        <w:widowControl w:val="0"/>
        <w:adjustRightInd w:val="0"/>
        <w:snapToGrid w:val="0"/>
        <w:spacing w:line="590" w:lineRule="exact"/>
        <w:ind w:firstLine="632" w:firstLineChars="200"/>
        <w:jc w:val="both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4A630850">
      <w:pPr>
        <w:pStyle w:val="7"/>
        <w:widowControl w:val="0"/>
        <w:adjustRightInd w:val="0"/>
        <w:snapToGrid w:val="0"/>
        <w:spacing w:line="590" w:lineRule="exact"/>
        <w:ind w:firstLine="632" w:firstLineChars="200"/>
        <w:jc w:val="both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65002DBC">
      <w:pPr>
        <w:pStyle w:val="7"/>
        <w:widowControl w:val="0"/>
        <w:adjustRightInd w:val="0"/>
        <w:snapToGrid w:val="0"/>
        <w:spacing w:line="590" w:lineRule="exact"/>
        <w:ind w:firstLine="632" w:firstLineChars="200"/>
        <w:jc w:val="both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29B437B1">
      <w:pPr>
        <w:pStyle w:val="7"/>
        <w:widowControl w:val="0"/>
        <w:adjustRightInd w:val="0"/>
        <w:snapToGrid w:val="0"/>
        <w:spacing w:line="590" w:lineRule="exact"/>
        <w:ind w:firstLine="632" w:firstLineChars="200"/>
        <w:jc w:val="both"/>
        <w:rPr>
          <w:rFonts w:hint="eastAsia" w:ascii="仿宋_GB2312" w:hAnsi="仿宋_GB2312" w:eastAsia="仿宋_GB2312" w:cs="仿宋_GB2312"/>
          <w:color w:val="auto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Cs w:val="32"/>
        </w:rPr>
        <w:t>施肥博士二维码</w:t>
      </w:r>
      <w:r>
        <w:rPr>
          <w:rFonts w:hint="eastAsia" w:ascii="仿宋_GB2312" w:hAnsi="仿宋_GB2312" w:eastAsia="仿宋_GB2312" w:cs="仿宋_GB2312"/>
          <w:color w:val="auto"/>
          <w:szCs w:val="32"/>
          <w:lang w:val="en-US" w:eastAsia="zh-CN"/>
        </w:rPr>
        <w:t xml:space="preserve">            推荐施肥专家系统二维码</w:t>
      </w:r>
    </w:p>
    <w:p w14:paraId="0B587865">
      <w:pPr>
        <w:pStyle w:val="7"/>
        <w:widowControl w:val="0"/>
        <w:adjustRightInd w:val="0"/>
        <w:snapToGrid w:val="0"/>
        <w:spacing w:line="590" w:lineRule="exact"/>
        <w:ind w:firstLine="632" w:firstLineChars="200"/>
        <w:jc w:val="both"/>
        <w:rPr>
          <w:rFonts w:hint="eastAsia" w:ascii="仿宋_GB2312" w:hAnsi="仿宋_GB2312" w:eastAsia="仿宋_GB2312" w:cs="仿宋_GB2312"/>
          <w:color w:val="auto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2979420</wp:posOffset>
            </wp:positionH>
            <wp:positionV relativeFrom="page">
              <wp:posOffset>6341745</wp:posOffset>
            </wp:positionV>
            <wp:extent cx="2189480" cy="2230755"/>
            <wp:effectExtent l="0" t="0" r="5080" b="9525"/>
            <wp:wrapNone/>
            <wp:docPr id="2" name="图片 7" descr="1684823188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16848231886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302260</wp:posOffset>
            </wp:positionV>
            <wp:extent cx="2221230" cy="2221230"/>
            <wp:effectExtent l="0" t="0" r="3810" b="3810"/>
            <wp:wrapTopAndBottom/>
            <wp:docPr id="6" name="图片 6" descr="施肥博士小程序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施肥博士小程序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A13559">
      <w:pPr>
        <w:spacing w:line="590" w:lineRule="exact"/>
        <w:ind w:firstLine="0" w:firstLineChars="0"/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br w:type="page"/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3</w:t>
      </w:r>
    </w:p>
    <w:p w14:paraId="5781E693">
      <w:pPr>
        <w:pStyle w:val="8"/>
        <w:adjustRightInd w:val="0"/>
        <w:snapToGrid w:val="0"/>
        <w:spacing w:line="568" w:lineRule="exact"/>
        <w:ind w:firstLine="632" w:firstLineChars="200"/>
        <w:jc w:val="both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</w:p>
    <w:p w14:paraId="111F358B">
      <w:pPr>
        <w:pStyle w:val="8"/>
        <w:adjustRightInd w:val="0"/>
        <w:snapToGrid w:val="0"/>
        <w:spacing w:line="568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</w:rPr>
        <w:t>广东省到2025年化肥减量化行动</w:t>
      </w:r>
    </w:p>
    <w:p w14:paraId="45A5F985">
      <w:pPr>
        <w:pStyle w:val="8"/>
        <w:adjustRightInd w:val="0"/>
        <w:snapToGrid w:val="0"/>
        <w:spacing w:line="568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</w:rPr>
        <w:t>专家指导组成员名单</w:t>
      </w:r>
    </w:p>
    <w:p w14:paraId="08A0D765">
      <w:pPr>
        <w:pStyle w:val="8"/>
        <w:adjustRightInd w:val="0"/>
        <w:snapToGrid w:val="0"/>
        <w:spacing w:line="568" w:lineRule="exact"/>
        <w:ind w:firstLine="632"/>
        <w:rPr>
          <w:rFonts w:ascii="仿宋_GB2312" w:hAnsi="仿宋_GB2312" w:eastAsia="仿宋_GB2312" w:cs="仿宋_GB2312"/>
          <w:color w:val="auto"/>
          <w:kern w:val="0"/>
          <w:sz w:val="32"/>
          <w:szCs w:val="32"/>
        </w:rPr>
      </w:pPr>
    </w:p>
    <w:p w14:paraId="632708EF">
      <w:pPr>
        <w:pStyle w:val="8"/>
        <w:adjustRightInd w:val="0"/>
        <w:snapToGrid w:val="0"/>
        <w:spacing w:line="568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组  长：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</w:rPr>
        <w:t xml:space="preserve">徐培智 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</w:rPr>
        <w:t>省农业科学院农业资源与环境研究所</w:t>
      </w:r>
    </w:p>
    <w:p w14:paraId="25066E0C">
      <w:pPr>
        <w:pStyle w:val="8"/>
        <w:adjustRightInd w:val="0"/>
        <w:snapToGrid w:val="0"/>
        <w:spacing w:line="568" w:lineRule="exact"/>
        <w:ind w:firstLine="3160" w:firstLineChars="1000"/>
        <w:rPr>
          <w:rFonts w:ascii="仿宋_GB2312" w:hAnsi="仿宋_GB2312" w:eastAsia="仿宋_GB2312" w:cs="仿宋_GB2312"/>
          <w:snapToGrid w:val="0"/>
          <w:color w:val="auto"/>
          <w:spacing w:val="-6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</w:rPr>
        <w:t>研究员</w:t>
      </w:r>
    </w:p>
    <w:p w14:paraId="23AABDA1">
      <w:pPr>
        <w:pStyle w:val="8"/>
        <w:adjustRightInd w:val="0"/>
        <w:snapToGrid w:val="0"/>
        <w:spacing w:line="568" w:lineRule="exact"/>
        <w:ind w:firstLine="660" w:firstLineChars="209"/>
        <w:rPr>
          <w:rFonts w:ascii="仿宋_GB2312" w:hAnsi="仿宋_GB2312" w:eastAsia="仿宋_GB2312" w:cs="仿宋_GB2312"/>
          <w:snapToGrid w:val="0"/>
          <w:color w:val="auto"/>
          <w:spacing w:val="-9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副组长：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-9"/>
          <w:kern w:val="0"/>
          <w:sz w:val="32"/>
          <w:szCs w:val="32"/>
        </w:rPr>
        <w:t xml:space="preserve">李永涛 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-9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-9"/>
          <w:kern w:val="0"/>
          <w:sz w:val="32"/>
          <w:szCs w:val="32"/>
        </w:rPr>
        <w:t>华南农业大学资源环境学院教授</w:t>
      </w:r>
    </w:p>
    <w:p w14:paraId="37718EF4">
      <w:pPr>
        <w:pStyle w:val="8"/>
        <w:adjustRightInd w:val="0"/>
        <w:snapToGrid w:val="0"/>
        <w:spacing w:line="568" w:lineRule="exact"/>
        <w:ind w:firstLine="1896" w:firstLineChars="600"/>
        <w:rPr>
          <w:rFonts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杜建军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仲恺农业工程学院资源与环境学院教授</w:t>
      </w:r>
    </w:p>
    <w:p w14:paraId="0E449A96">
      <w:pPr>
        <w:pStyle w:val="8"/>
        <w:adjustRightInd w:val="0"/>
        <w:snapToGrid w:val="0"/>
        <w:spacing w:line="568" w:lineRule="exact"/>
        <w:ind w:firstLine="632" w:firstLineChars="200"/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成  员：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</w:rPr>
        <w:t xml:space="preserve">姚丽贤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</w:rPr>
        <w:t>华南农业大学资源环境学院教授</w:t>
      </w:r>
    </w:p>
    <w:p w14:paraId="1FAA227F">
      <w:pPr>
        <w:pStyle w:val="8"/>
        <w:adjustRightInd w:val="0"/>
        <w:snapToGrid w:val="0"/>
        <w:spacing w:line="568" w:lineRule="exact"/>
        <w:ind w:firstLine="3160" w:firstLineChars="1000"/>
        <w:rPr>
          <w:rFonts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</w:rPr>
        <w:t>（香蕉施肥）</w:t>
      </w:r>
    </w:p>
    <w:p w14:paraId="775EEC80">
      <w:pPr>
        <w:pStyle w:val="8"/>
        <w:adjustRightInd w:val="0"/>
        <w:snapToGrid w:val="0"/>
        <w:spacing w:line="568" w:lineRule="exact"/>
        <w:ind w:firstLine="1924" w:firstLineChars="609"/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张承林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</w:rPr>
        <w:t>华南农业大学资源环境学院教授</w:t>
      </w:r>
    </w:p>
    <w:p w14:paraId="67122AB4">
      <w:pPr>
        <w:pStyle w:val="8"/>
        <w:adjustRightInd w:val="0"/>
        <w:snapToGrid w:val="0"/>
        <w:spacing w:line="568" w:lineRule="exact"/>
        <w:ind w:firstLine="3129" w:firstLineChars="990"/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0"/>
          <w:kern w:val="0"/>
          <w:sz w:val="32"/>
          <w:szCs w:val="32"/>
        </w:rPr>
        <w:t>（灌溉施肥）</w:t>
      </w:r>
    </w:p>
    <w:p w14:paraId="3A684208">
      <w:pPr>
        <w:pStyle w:val="8"/>
        <w:adjustRightInd w:val="0"/>
        <w:snapToGrid w:val="0"/>
        <w:spacing w:line="568" w:lineRule="exact"/>
        <w:ind w:firstLine="1924" w:firstLineChars="60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张新明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华南农业大学资源环境学院教授</w:t>
      </w:r>
    </w:p>
    <w:p w14:paraId="1DCF091B">
      <w:pPr>
        <w:pStyle w:val="8"/>
        <w:adjustRightInd w:val="0"/>
        <w:snapToGrid w:val="0"/>
        <w:spacing w:line="568" w:lineRule="exact"/>
        <w:ind w:firstLine="3188" w:firstLineChars="100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（马铃薯施肥）</w:t>
      </w:r>
    </w:p>
    <w:p w14:paraId="66D9C161">
      <w:pPr>
        <w:pStyle w:val="8"/>
        <w:adjustRightInd w:val="0"/>
        <w:snapToGrid w:val="0"/>
        <w:spacing w:line="568" w:lineRule="exact"/>
        <w:ind w:left="3274" w:leftChars="615" w:hanging="1331" w:hangingChars="421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唐栓虎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省农科院农业资源与环境研究所研究员（水稻施肥）</w:t>
      </w:r>
    </w:p>
    <w:p w14:paraId="7727C235">
      <w:pPr>
        <w:pStyle w:val="8"/>
        <w:adjustRightInd w:val="0"/>
        <w:snapToGrid w:val="0"/>
        <w:spacing w:line="568" w:lineRule="exact"/>
        <w:ind w:left="3292" w:leftChars="609" w:hanging="1368" w:hangingChars="433"/>
        <w:rPr>
          <w:rFonts w:hint="eastAsia" w:ascii="仿宋_GB2312" w:hAnsi="仿宋_GB2312" w:eastAsia="仿宋_GB2312" w:cs="仿宋_GB2312"/>
          <w:snapToGrid w:val="0"/>
          <w:color w:val="auto"/>
          <w:spacing w:val="-6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李国良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-6"/>
          <w:kern w:val="0"/>
          <w:sz w:val="32"/>
          <w:szCs w:val="32"/>
        </w:rPr>
        <w:t>省农科院农业资源与环境研究所副研究员</w:t>
      </w:r>
    </w:p>
    <w:p w14:paraId="14A9EEE7">
      <w:pPr>
        <w:pStyle w:val="8"/>
        <w:adjustRightInd w:val="0"/>
        <w:snapToGrid w:val="0"/>
        <w:spacing w:line="568" w:lineRule="exact"/>
        <w:ind w:left="3279" w:leftChars="1009" w:hanging="91" w:hangingChars="2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（果树施肥）</w:t>
      </w:r>
    </w:p>
    <w:p w14:paraId="0DA98EE1">
      <w:pPr>
        <w:pStyle w:val="8"/>
        <w:adjustRightInd w:val="0"/>
        <w:snapToGrid w:val="0"/>
        <w:spacing w:line="568" w:lineRule="exact"/>
        <w:ind w:left="3390" w:leftChars="629" w:hanging="1403" w:hangingChars="444"/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黄  旭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</w:rPr>
        <w:t>省农科院农业资源与环境研究所高级</w:t>
      </w:r>
    </w:p>
    <w:p w14:paraId="5687F509">
      <w:pPr>
        <w:pStyle w:val="8"/>
        <w:adjustRightInd w:val="0"/>
        <w:snapToGrid w:val="0"/>
        <w:spacing w:line="568" w:lineRule="exact"/>
        <w:ind w:left="3384" w:leftChars="1027" w:hanging="139" w:hangingChars="44"/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</w:rPr>
        <w:t>农艺师（水稻侧深施肥）</w:t>
      </w:r>
    </w:p>
    <w:p w14:paraId="77E16D9F">
      <w:pPr>
        <w:pStyle w:val="8"/>
        <w:adjustRightInd w:val="0"/>
        <w:snapToGrid w:val="0"/>
        <w:spacing w:line="568" w:lineRule="exact"/>
        <w:ind w:left="3276" w:leftChars="610" w:hanging="1349" w:hangingChars="427"/>
        <w:rPr>
          <w:rFonts w:hint="eastAsia" w:ascii="仿宋_GB2312" w:hAnsi="仿宋_GB2312" w:eastAsia="仿宋_GB2312" w:cs="仿宋_GB2312"/>
          <w:snapToGrid w:val="0"/>
          <w:color w:val="auto"/>
          <w:spacing w:val="-6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于俊红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-6"/>
          <w:kern w:val="0"/>
          <w:sz w:val="32"/>
          <w:szCs w:val="32"/>
        </w:rPr>
        <w:t>省农科院农业资源与环境研究所副研究员</w:t>
      </w:r>
    </w:p>
    <w:p w14:paraId="1B10DA77">
      <w:pPr>
        <w:pStyle w:val="8"/>
        <w:adjustRightInd w:val="0"/>
        <w:snapToGrid w:val="0"/>
        <w:spacing w:line="568" w:lineRule="exact"/>
        <w:ind w:left="3267" w:leftChars="1009" w:hanging="79" w:hangingChars="25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（花生施肥）</w:t>
      </w:r>
    </w:p>
    <w:p w14:paraId="28784144">
      <w:pPr>
        <w:pStyle w:val="8"/>
        <w:adjustRightInd w:val="0"/>
        <w:snapToGrid w:val="0"/>
        <w:spacing w:line="568" w:lineRule="exact"/>
        <w:ind w:left="3352" w:leftChars="609" w:hanging="1428" w:hangingChars="452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张白鸽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省农科院蔬菜研究所副研究员</w:t>
      </w:r>
    </w:p>
    <w:p w14:paraId="42546561">
      <w:pPr>
        <w:pStyle w:val="8"/>
        <w:adjustRightInd w:val="0"/>
        <w:snapToGrid w:val="0"/>
        <w:spacing w:line="568" w:lineRule="exact"/>
        <w:ind w:left="3346" w:leftChars="1009" w:hanging="158" w:hangingChars="50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（蔬菜施肥）</w:t>
      </w:r>
    </w:p>
    <w:p w14:paraId="4E7D240C">
      <w:pPr>
        <w:pStyle w:val="8"/>
        <w:adjustRightInd w:val="0"/>
        <w:snapToGrid w:val="0"/>
        <w:spacing w:line="568" w:lineRule="exact"/>
        <w:ind w:left="3327" w:leftChars="600" w:hanging="1431" w:hangingChars="453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杨杰文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仲恺农业工程学院资源与环境学院教授</w:t>
      </w:r>
    </w:p>
    <w:p w14:paraId="2EA03A4E">
      <w:pPr>
        <w:pStyle w:val="8"/>
        <w:adjustRightInd w:val="0"/>
        <w:snapToGrid w:val="0"/>
        <w:spacing w:line="568" w:lineRule="exact"/>
        <w:ind w:left="3318" w:leftChars="1000" w:hanging="158" w:hangingChars="50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（玉米施肥）</w:t>
      </w:r>
    </w:p>
    <w:p w14:paraId="180F33B1">
      <w:pPr>
        <w:pStyle w:val="8"/>
        <w:adjustRightInd w:val="0"/>
        <w:snapToGrid w:val="0"/>
        <w:spacing w:line="568" w:lineRule="exact"/>
        <w:ind w:left="3352" w:leftChars="609" w:hanging="1428" w:hangingChars="452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 xml:space="preserve">谢江江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广州甘蔗糖业研究所湛江甘蔗研究中心副研究员（甘蔗施肥）</w:t>
      </w:r>
    </w:p>
    <w:p w14:paraId="23A111BF">
      <w:pPr>
        <w:pStyle w:val="7"/>
        <w:widowControl w:val="0"/>
        <w:adjustRightInd w:val="0"/>
        <w:snapToGrid w:val="0"/>
        <w:spacing w:line="590" w:lineRule="exact"/>
        <w:ind w:firstLine="0" w:firstLineChars="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4</w:t>
      </w:r>
    </w:p>
    <w:p w14:paraId="3796A599">
      <w:pPr>
        <w:pStyle w:val="7"/>
        <w:widowControl w:val="0"/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 w14:paraId="78D5FC8D">
      <w:pPr>
        <w:adjustRightInd w:val="0"/>
        <w:snapToGrid w:val="0"/>
        <w:spacing w:line="59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napToGrid w:val="0"/>
          <w:color w:val="auto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color w:val="auto"/>
          <w:kern w:val="0"/>
          <w:sz w:val="44"/>
          <w:szCs w:val="44"/>
        </w:rPr>
        <w:t>2023年化肥减量增效工作进展情况表</w:t>
      </w:r>
    </w:p>
    <w:p w14:paraId="1597869E">
      <w:pPr>
        <w:adjustRightInd w:val="0"/>
        <w:snapToGrid w:val="0"/>
        <w:spacing w:line="590" w:lineRule="exact"/>
        <w:ind w:firstLine="0" w:firstLineChars="0"/>
        <w:textAlignment w:val="center"/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</w:rPr>
      </w:pPr>
    </w:p>
    <w:p w14:paraId="084B3130">
      <w:pPr>
        <w:adjustRightInd w:val="0"/>
        <w:snapToGrid w:val="0"/>
        <w:spacing w:line="590" w:lineRule="exact"/>
        <w:ind w:firstLine="0" w:firstLineChars="0"/>
        <w:textAlignment w:val="center"/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</w:rPr>
        <w:t>填报单位：                             填报时间：        年    月    日</w:t>
      </w:r>
    </w:p>
    <w:tbl>
      <w:tblPr>
        <w:tblStyle w:val="4"/>
        <w:tblW w:w="4999" w:type="pct"/>
        <w:jc w:val="cente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0"/>
        <w:gridCol w:w="3830"/>
        <w:gridCol w:w="1407"/>
        <w:gridCol w:w="2295"/>
      </w:tblGrid>
      <w:tr w14:paraId="01A48F2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tblHeader/>
          <w:jc w:val="center"/>
        </w:trPr>
        <w:tc>
          <w:tcPr>
            <w:tcW w:w="2913" w:type="pct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9592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kern w:val="0"/>
                <w:sz w:val="24"/>
                <w:szCs w:val="24"/>
              </w:rPr>
              <w:t>填报项目</w:t>
            </w:r>
          </w:p>
        </w:tc>
        <w:tc>
          <w:tcPr>
            <w:tcW w:w="20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9AE36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kern w:val="0"/>
                <w:sz w:val="24"/>
                <w:szCs w:val="24"/>
              </w:rPr>
              <w:t>计划和进展情况</w:t>
            </w:r>
          </w:p>
        </w:tc>
      </w:tr>
      <w:tr w14:paraId="386F7F2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tblHeader/>
          <w:jc w:val="center"/>
        </w:trPr>
        <w:tc>
          <w:tcPr>
            <w:tcW w:w="2913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1AC58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黑体" w:eastAsia="黑体" w:cs="黑体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308E1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4"/>
                <w:szCs w:val="24"/>
              </w:rPr>
              <w:t>计划</w:t>
            </w: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B1E99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4"/>
                <w:szCs w:val="24"/>
              </w:rPr>
              <w:t>进展（完成）情况累计</w:t>
            </w:r>
          </w:p>
        </w:tc>
      </w:tr>
      <w:tr w14:paraId="4EB63D5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411D6E">
            <w:pPr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1.资金投入</w:t>
            </w: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DBF094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中央资金（万元）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530EE9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1F67C9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35CBD9E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A47847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FF7E9A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地方资金（万元）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556B15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92DF6A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51C06F5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6135C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2.基础工作</w:t>
            </w: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1C9AF8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采集土样(个)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25A6AF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7C8BD4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614115B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4E5A9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D49D86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农户施肥情况调查（个）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9E9121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7D3BC5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4D507B9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A9930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6694D7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田间肥效试验(个)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92889B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56DADB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465EEA9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26CEA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5B70E5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发布肥料配方（个）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12CD83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A6B97C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41E63FC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2E7EA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3.技术推广</w:t>
            </w: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6CD9B3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测土配方施肥技术推广面积（亩）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48FAFD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CBFD8D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3DDA4CA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6642C5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DB3311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化肥减量增效“三新”配套示范面积（亩）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76933A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8BEB6C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7DA0DA3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2E993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49B922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配方肥施用面积（亩）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012CDA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D591B9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5678AD4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DCC8AA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C1B6C5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配方肥施用量（拆纯，吨）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7A702E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DE498A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4EAFEC2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872FD8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8D188B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缓控释肥施面积（亩）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F8E39E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A53163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5E58480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9EDE9D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6810D9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其他新型高效肥料施用面积（亩）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0D2E0B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2030B1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64E6D90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4B6C2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56331E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机械施肥面积（亩）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42F850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FA5AA8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4E93973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F62ECB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7035EC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其中：水稻侧深施肥面积（亩）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A5AFFE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6925F9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02DB5F7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D81E5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6539C8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绿肥种植（亩）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F5E777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E5E796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0825691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7" w:hRule="atLeast"/>
          <w:jc w:val="center"/>
        </w:trPr>
        <w:tc>
          <w:tcPr>
            <w:tcW w:w="7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EC34E6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示范区</w:t>
            </w:r>
          </w:p>
          <w:p w14:paraId="13D973B0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建设</w:t>
            </w: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1963BD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示范片数量（个）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4D933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03A3EF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0940E7C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5983BF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7E24B9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示范区面积（亩）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9CAB29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07BCE9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0EC49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7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517982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F9BD3C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其中水稻示范面积（亩）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5161BE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0FE624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3E0CA06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AE7DDA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EC1BFF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遴选实施主体（个）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826420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7E471A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7874799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B15413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D08224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示范区化肥减量（%）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077A73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1045A3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3FDAC3E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37A1C6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A3272B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示范区作物亩均增产（千克/亩）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7AD85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C6D86B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1E597EC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6581E0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D5447B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示范区亩均节本增收（元/亩）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F26B76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0ABC7D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395CE2D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3" w:hRule="atLeast"/>
          <w:jc w:val="center"/>
        </w:trPr>
        <w:tc>
          <w:tcPr>
            <w:tcW w:w="755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9A6AD4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社会化</w:t>
            </w:r>
          </w:p>
          <w:p w14:paraId="03B9DD74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服务</w:t>
            </w: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281A73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科学施肥社会化服务组织（个）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AEDD0C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5DA64E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09683EF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0" w:hRule="atLeast"/>
          <w:jc w:val="center"/>
        </w:trPr>
        <w:tc>
          <w:tcPr>
            <w:tcW w:w="755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BFA4B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06559E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统配统施服务面积（亩）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DFD857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590D7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3CE7BE0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B7966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6.宣传培训</w:t>
            </w: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DB8AA0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培训班（期）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5AB215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2CB16C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7F3A69A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9617DD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473D88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培训人数（人次）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A2A097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EF6AC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557E1E6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51300F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1F0C97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现场观摩（次）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9854C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EF40C9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2BBAFA2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8751D6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F0A25E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发放技术资料（份，含施肥建议卡）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EA93DE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DB94DC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  <w:tr w14:paraId="091577E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E14A7EF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431829">
            <w:pPr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宣传报道（次）</w:t>
            </w:r>
          </w:p>
        </w:tc>
        <w:tc>
          <w:tcPr>
            <w:tcW w:w="7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5D5F805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A0A6B73">
            <w:pPr>
              <w:adjustRightInd w:val="0"/>
              <w:snapToGrid w:val="0"/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</w:tbl>
    <w:p w14:paraId="037C8468">
      <w:pPr>
        <w:adjustRightInd w:val="0"/>
        <w:snapToGrid w:val="0"/>
        <w:spacing w:line="240" w:lineRule="auto"/>
        <w:ind w:firstLine="0" w:firstLineChars="0"/>
        <w:textAlignment w:val="center"/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</w:rPr>
      </w:pPr>
    </w:p>
    <w:p w14:paraId="628AD86B">
      <w:pPr>
        <w:adjustRightInd w:val="0"/>
        <w:snapToGrid w:val="0"/>
        <w:spacing w:line="240" w:lineRule="auto"/>
        <w:ind w:firstLine="0" w:firstLineChars="0"/>
        <w:textAlignment w:val="center"/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</w:rPr>
        <w:t>填表人：                                  联系电话：</w:t>
      </w:r>
    </w:p>
    <w:p w14:paraId="2AB223AC">
      <w:pPr>
        <w:adjustRightInd w:val="0"/>
        <w:snapToGrid w:val="0"/>
        <w:spacing w:line="240" w:lineRule="auto"/>
        <w:ind w:firstLine="0" w:firstLineChars="0"/>
        <w:textAlignment w:val="center"/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</w:rPr>
      </w:pPr>
    </w:p>
    <w:p w14:paraId="2D1FBD1E">
      <w:pPr>
        <w:adjustRightInd w:val="0"/>
        <w:snapToGrid w:val="0"/>
        <w:spacing w:line="240" w:lineRule="auto"/>
        <w:ind w:firstLine="0" w:firstLineChars="0"/>
        <w:textAlignment w:val="center"/>
        <w:rPr>
          <w:rStyle w:val="6"/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u w:val="none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</w:rPr>
        <w:t>注：此表由地级以上市和重点示范县于每季度末发送至</w:t>
      </w:r>
      <w:bookmarkStart w:id="0" w:name="OLE_LINK1"/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</w:rPr>
        <w:t>省环耕中心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instrText xml:space="preserve"> HYPERLINK "mailto:nynct-37288083@gd.gov.cn" </w:instrTex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u w:val="none"/>
        </w:rPr>
        <w:t>nynct-37288083</w:t>
      </w:r>
    </w:p>
    <w:p w14:paraId="64D18227">
      <w:pPr>
        <w:adjustRightInd w:val="0"/>
        <w:snapToGrid w:val="0"/>
        <w:spacing w:line="240" w:lineRule="auto"/>
        <w:ind w:firstLine="0" w:firstLineChars="0"/>
        <w:textAlignment w:val="center"/>
        <w:rPr>
          <w:rStyle w:val="6"/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u w:val="none"/>
        </w:rPr>
        <w:sectPr>
          <w:footerReference r:id="rId4" w:type="first"/>
          <w:footerReference r:id="rId3" w:type="default"/>
          <w:pgSz w:w="11906" w:h="16838"/>
          <w:pgMar w:top="1871" w:right="1531" w:bottom="1871" w:left="1531" w:header="851" w:footer="1417" w:gutter="0"/>
          <w:pgNumType w:fmt="decimal" w:start="2"/>
          <w:cols w:space="720" w:num="1"/>
          <w:rtlGutter w:val="0"/>
          <w:docGrid w:type="linesAndChars" w:linePitch="590" w:charSpace="-1024"/>
        </w:sectPr>
      </w:pPr>
      <w:r>
        <w:rPr>
          <w:rStyle w:val="6"/>
          <w:rFonts w:hint="eastAsia" w:ascii="方正小标宋_GBK" w:hAnsi="方正小标宋_GBK" w:eastAsia="方正小标宋_GBK" w:cs="方正小标宋_GBK"/>
          <w:b/>
          <w:bCs/>
          <w:color w:val="auto"/>
          <w:kern w:val="0"/>
          <w:sz w:val="24"/>
          <w:szCs w:val="24"/>
          <w:u w:val="none"/>
        </w:rPr>
        <w:t>@</w:t>
      </w:r>
      <w:r>
        <w:rPr>
          <w:rStyle w:val="6"/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u w:val="none"/>
        </w:rPr>
        <w:t>gd.gov.cn</w:t>
      </w:r>
      <w:bookmarkEnd w:id="0"/>
      <w:r>
        <w:rPr>
          <w:rStyle w:val="6"/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u w:val="none"/>
        </w:rPr>
        <w:fldChar w:fldCharType="end"/>
      </w:r>
    </w:p>
    <w:p w14:paraId="0E8BB2B7">
      <w:pPr>
        <w:spacing w:line="590" w:lineRule="exact"/>
        <w:ind w:firstLine="0" w:firstLineChars="0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5</w:t>
      </w:r>
    </w:p>
    <w:p w14:paraId="6F9A41B5">
      <w:pPr>
        <w:pStyle w:val="2"/>
        <w:keepNext w:val="0"/>
        <w:keepLines w:val="0"/>
        <w:adjustRightInd w:val="0"/>
        <w:snapToGrid w:val="0"/>
        <w:spacing w:before="0" w:after="0" w:line="590" w:lineRule="exact"/>
        <w:ind w:firstLine="632" w:firstLineChars="200"/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306705</wp:posOffset>
            </wp:positionV>
            <wp:extent cx="8483600" cy="4563745"/>
            <wp:effectExtent l="0" t="0" r="5080" b="8255"/>
            <wp:wrapNone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DB0C76">
      <w:pPr>
        <w:adjustRightInd w:val="0"/>
        <w:snapToGrid w:val="0"/>
        <w:spacing w:line="590" w:lineRule="exact"/>
        <w:ind w:right="0"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Cs w:val="32"/>
        </w:rPr>
      </w:pPr>
    </w:p>
    <w:p w14:paraId="6E1A6EB8">
      <w:pPr>
        <w:adjustRightInd w:val="0"/>
        <w:snapToGrid w:val="0"/>
        <w:spacing w:line="590" w:lineRule="exact"/>
        <w:ind w:right="0"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Cs w:val="32"/>
        </w:rPr>
      </w:pPr>
    </w:p>
    <w:p w14:paraId="615CB692">
      <w:pPr>
        <w:adjustRightInd w:val="0"/>
        <w:snapToGrid w:val="0"/>
        <w:spacing w:line="590" w:lineRule="exact"/>
        <w:ind w:right="0"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Cs w:val="32"/>
        </w:rPr>
      </w:pPr>
    </w:p>
    <w:p w14:paraId="35DB5CD2">
      <w:pPr>
        <w:adjustRightInd w:val="0"/>
        <w:snapToGrid w:val="0"/>
        <w:spacing w:line="590" w:lineRule="exact"/>
        <w:ind w:right="0"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Cs w:val="32"/>
        </w:rPr>
      </w:pPr>
    </w:p>
    <w:p w14:paraId="766D550E">
      <w:pPr>
        <w:adjustRightInd w:val="0"/>
        <w:snapToGrid w:val="0"/>
        <w:spacing w:line="590" w:lineRule="exact"/>
        <w:ind w:right="0"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Cs w:val="32"/>
        </w:rPr>
      </w:pPr>
    </w:p>
    <w:p w14:paraId="6B877B5E">
      <w:pPr>
        <w:adjustRightInd w:val="0"/>
        <w:snapToGrid w:val="0"/>
        <w:spacing w:line="590" w:lineRule="exact"/>
        <w:ind w:right="0"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Cs w:val="32"/>
        </w:rPr>
      </w:pPr>
    </w:p>
    <w:p w14:paraId="769336B2">
      <w:pPr>
        <w:adjustRightInd w:val="0"/>
        <w:snapToGrid w:val="0"/>
        <w:spacing w:line="590" w:lineRule="exact"/>
        <w:ind w:right="0"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Cs w:val="32"/>
        </w:rPr>
      </w:pPr>
    </w:p>
    <w:p w14:paraId="29BA78B4">
      <w:pPr>
        <w:adjustRightInd w:val="0"/>
        <w:snapToGrid w:val="0"/>
        <w:spacing w:line="590" w:lineRule="exact"/>
        <w:ind w:right="0" w:firstLine="632" w:firstLineChars="200"/>
        <w:rPr>
          <w:rFonts w:hint="eastAsia" w:ascii="仿宋_GB2312" w:hAnsi="仿宋_GB2312" w:eastAsia="仿宋_GB2312" w:cs="仿宋_GB2312"/>
          <w:snapToGrid w:val="0"/>
          <w:color w:val="auto"/>
          <w:kern w:val="0"/>
          <w:szCs w:val="32"/>
        </w:rPr>
      </w:pPr>
    </w:p>
    <w:p w14:paraId="130CCE81">
      <w:pPr>
        <w:adjustRightInd w:val="0"/>
        <w:snapToGrid w:val="0"/>
        <w:spacing w:line="590" w:lineRule="exact"/>
        <w:ind w:firstLine="632" w:firstLineChars="200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620AEEE5">
      <w:pPr>
        <w:pStyle w:val="7"/>
        <w:widowControl w:val="0"/>
        <w:adjustRightInd w:val="0"/>
        <w:snapToGrid w:val="0"/>
        <w:spacing w:line="590" w:lineRule="exact"/>
        <w:ind w:right="0" w:firstLine="632" w:firstLineChars="200"/>
        <w:rPr>
          <w:rFonts w:hint="eastAsia" w:ascii="仿宋_GB2312" w:hAnsi="仿宋_GB2312" w:cs="仿宋_GB2312"/>
          <w:color w:val="auto"/>
          <w:szCs w:val="32"/>
        </w:rPr>
      </w:pPr>
      <w:bookmarkStart w:id="1" w:name="F_JJCD"/>
      <w:bookmarkEnd w:id="1"/>
    </w:p>
    <w:p w14:paraId="49E76FFE">
      <w:pPr>
        <w:pStyle w:val="7"/>
        <w:widowControl w:val="0"/>
        <w:adjustRightInd w:val="0"/>
        <w:snapToGrid w:val="0"/>
        <w:spacing w:line="590" w:lineRule="exact"/>
        <w:ind w:right="0" w:firstLine="632" w:firstLineChars="200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5BC882FB">
      <w:pPr>
        <w:pStyle w:val="7"/>
        <w:widowControl w:val="0"/>
        <w:adjustRightInd w:val="0"/>
        <w:snapToGrid w:val="0"/>
        <w:spacing w:line="590" w:lineRule="exact"/>
        <w:ind w:right="0" w:firstLine="632" w:firstLineChars="200"/>
        <w:rPr>
          <w:rFonts w:hint="eastAsia" w:ascii="仿宋_GB2312" w:hAnsi="仿宋_GB2312" w:eastAsia="仿宋_GB2312" w:cs="仿宋_GB2312"/>
          <w:color w:val="auto"/>
          <w:szCs w:val="32"/>
        </w:rPr>
      </w:pPr>
    </w:p>
    <w:p w14:paraId="3B0D4633">
      <w:pPr>
        <w:pStyle w:val="7"/>
        <w:widowControl w:val="0"/>
        <w:adjustRightInd w:val="0"/>
        <w:snapToGrid w:val="0"/>
        <w:spacing w:line="590" w:lineRule="exact"/>
        <w:ind w:right="0" w:firstLine="632" w:firstLineChars="200"/>
        <w:rPr>
          <w:rFonts w:hint="eastAsia" w:ascii="仿宋_GB2312" w:hAnsi="仿宋_GB2312" w:eastAsia="仿宋_GB2312" w:cs="仿宋_GB2312"/>
          <w:color w:val="auto"/>
          <w:szCs w:val="32"/>
        </w:rPr>
        <w:sectPr>
          <w:footerReference r:id="rId6" w:type="first"/>
          <w:footerReference r:id="rId5" w:type="default"/>
          <w:pgSz w:w="16838" w:h="11905" w:orient="landscape"/>
          <w:pgMar w:top="1531" w:right="1871" w:bottom="1531" w:left="1871" w:header="851" w:footer="1417" w:gutter="0"/>
          <w:pgNumType w:fmt="decimal"/>
          <w:cols w:space="720" w:num="1"/>
          <w:titlePg/>
          <w:rtlGutter w:val="0"/>
          <w:docGrid w:type="linesAndChars" w:linePitch="631" w:charSpace="-1024"/>
        </w:sectPr>
      </w:pPr>
    </w:p>
    <w:p w14:paraId="503B4C0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B785D78-CCD4-4F66-A327-DBFB6A67EB6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0EFCA95E-2E4E-4DC9-B922-B2532ECED182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F749003F-9E8A-45D1-9D1B-EB8C3907735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953C018A-7A41-4120-A117-46CEB6310CF4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5" w:fontKey="{F19CF784-CDE0-4DCA-9BAB-31D2766E19F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6" w:fontKey="{A2EC93B3-B930-4CB3-9E6D-82D437C4B9B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C120F">
    <w:pPr>
      <w:pStyle w:val="3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4CE826">
                          <w:pPr>
                            <w:snapToGrid w:val="0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28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O3lPQyAgAAY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7eU9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4CE826">
                    <w:pPr>
                      <w:snapToGrid w:val="0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28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D45C1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75969F7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Ioso5NIBAACjAwAADgAAAAAAAAABACAAAAAi&#10;AQAAZHJzL2Uyb0RvYy54bWxQSwUGAAAAAAYABgBZAQAAZ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75969F7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A28A4">
    <w:pPr>
      <w:pStyle w:val="3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BE7BEF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-842010</wp:posOffset>
              </wp:positionH>
              <wp:positionV relativeFrom="paragraph">
                <wp:posOffset>-899160</wp:posOffset>
              </wp:positionV>
              <wp:extent cx="550545" cy="1066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0545" cy="1066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08862635">
                          <w:pP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23 —</w:t>
                          </w:r>
                        </w:p>
                      </w:txbxContent>
                    </wps:txbx>
                    <wps:bodyPr vert="eaVert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3pt;margin-top:-70.8pt;height:84pt;width:43.35pt;z-index:251664384;mso-width-relative:page;mso-height-relative:page;" filled="f" stroked="f" coordsize="21600,21600" o:gfxdata="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djRpjdAAAADAEAAA8AAAAAAAAAAQAgAAAAIgAAAGRycy9kb3ducmV2&#10;LnhtbFBLAQIUABQAAAAIAIdO4kCI4OVkvgEAAGYDAAAOAAAAAAAAAAEAIAAAACwBAABkcnMvZTJv&#10;RG9jLnhtbFBLBQYAAAAABgAGAFkBAABcBQAAAAA=&#10;">
              <v:fill on="f" focussize="0,0"/>
              <v:stroke on="f" weight="1.25pt"/>
              <v:imagedata o:title=""/>
              <o:lock v:ext="edit" aspectratio="f"/>
              <v:textbox style="layout-flow:vertical-ideographic;">
                <w:txbxContent>
                  <w:p w14:paraId="08862635">
                    <w:pP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23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30819D"/>
    <w:multiLevelType w:val="singleLevel"/>
    <w:tmpl w:val="6030819D"/>
    <w:lvl w:ilvl="0" w:tentative="0">
      <w:start w:val="4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yMzYyMjE4OGEyYmU0NGU4OWM3NGNlZDgzMmNmZWUifQ=="/>
  </w:docVars>
  <w:rsids>
    <w:rsidRoot w:val="00000000"/>
    <w:rsid w:val="11CB6A90"/>
    <w:rsid w:val="7934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p0"/>
    <w:basedOn w:val="1"/>
    <w:uiPriority w:val="0"/>
    <w:pPr>
      <w:widowControl/>
    </w:pPr>
    <w:rPr>
      <w:rFonts w:eastAsia="仿宋_GB2312"/>
      <w:snapToGrid w:val="0"/>
      <w:kern w:val="0"/>
      <w:szCs w:val="21"/>
    </w:rPr>
  </w:style>
  <w:style w:type="paragraph" w:customStyle="1" w:styleId="8">
    <w:name w:val="报告正文"/>
    <w:basedOn w:val="1"/>
    <w:qFormat/>
    <w:uiPriority w:val="0"/>
    <w:pPr>
      <w:ind w:firstLine="640" w:firstLineChars="200"/>
    </w:pPr>
    <w:rPr>
      <w:rFonts w:ascii="Calibri" w:hAnsi="Calibri" w:eastAsia="仿宋" w:cs="Times New Roman"/>
      <w:sz w:val="21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4673</Words>
  <Characters>4822</Characters>
  <Lines>0</Lines>
  <Paragraphs>0</Paragraphs>
  <TotalTime>0</TotalTime>
  <ScaleCrop>false</ScaleCrop>
  <LinksUpToDate>false</LinksUpToDate>
  <CharactersWithSpaces>4825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2023-06-09T07:42:00Z</dcterms:created>
  <dc:creator>wuyin</dc:creator>
  <cp:lastModifiedBy>KiHwa</cp:lastModifiedBy>
  <dcterms:modified xsi:type="dcterms:W3CDTF">2025-07-22T06:42:17Z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9BF374EBD3ED4D5C9A54E4EEA2798D63_12</vt:lpwstr>
  </property>
  <property fmtid="{D5CDD505-2E9C-101B-9397-08002B2CF9AE}" pid="4" name="KSOTemplateDocerSaveRecord">
    <vt:lpwstr>eyJoZGlkIjoiNzdmOTU0NzZmNDI3NDNjYmVjZTJiN2NiNmE1NTUwZjciLCJ1c2VySWQiOiI0MDk1MTczODYifQ==</vt:lpwstr>
  </property>
</Properties>
</file>