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8765C">
      <w:pPr>
        <w:pageBreakBefore w:val="0"/>
        <w:kinsoku/>
        <w:wordWrap/>
        <w:overflowPunct/>
        <w:topLinePunct w:val="0"/>
        <w:bidi w:val="0"/>
        <w:adjustRightInd/>
        <w:snapToGrid/>
        <w:spacing w:afterAutospacing="0" w:line="600" w:lineRule="exact"/>
        <w:ind w:right="0" w:rightChars="0"/>
        <w:jc w:val="center"/>
        <w:outlineLvl w:val="0"/>
        <w:rPr>
          <w:rFonts w:hint="eastAsia" w:ascii="方正小标宋简体" w:hAnsi="方正小标宋简体" w:eastAsia="方正小标宋简体" w:cs="方正小标宋简体"/>
          <w:sz w:val="44"/>
          <w:szCs w:val="44"/>
          <w:lang w:val="en-US" w:eastAsia="zh-CN"/>
        </w:rPr>
      </w:pPr>
      <w:bookmarkStart w:id="0" w:name="_Toc13127"/>
    </w:p>
    <w:p w14:paraId="08C76424">
      <w:pPr>
        <w:pageBreakBefore w:val="0"/>
        <w:kinsoku/>
        <w:wordWrap/>
        <w:overflowPunct/>
        <w:topLinePunct w:val="0"/>
        <w:bidi w:val="0"/>
        <w:adjustRightInd/>
        <w:snapToGrid/>
        <w:spacing w:afterAutospacing="0" w:line="600" w:lineRule="exact"/>
        <w:ind w:right="0" w:rightChars="0"/>
        <w:jc w:val="center"/>
        <w:outlineLvl w:val="0"/>
        <w:rPr>
          <w:rFonts w:hint="eastAsia" w:ascii="方正小标宋简体" w:hAnsi="方正小标宋简体" w:eastAsia="方正小标宋简体" w:cs="方正小标宋简体"/>
          <w:sz w:val="44"/>
          <w:szCs w:val="44"/>
          <w:lang w:val="en-US" w:eastAsia="zh-CN"/>
        </w:rPr>
      </w:pPr>
    </w:p>
    <w:p w14:paraId="7741633E">
      <w:pPr>
        <w:pageBreakBefore w:val="0"/>
        <w:kinsoku/>
        <w:wordWrap/>
        <w:overflowPunct/>
        <w:topLinePunct w:val="0"/>
        <w:bidi w:val="0"/>
        <w:adjustRightInd/>
        <w:snapToGrid/>
        <w:spacing w:afterAutospacing="0" w:line="600" w:lineRule="exact"/>
        <w:ind w:right="0" w:rightChars="0"/>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2023年度东西部协作省级财政援助资金</w:t>
      </w:r>
    </w:p>
    <w:p w14:paraId="1DD2C855">
      <w:pPr>
        <w:pageBreakBefore w:val="0"/>
        <w:kinsoku/>
        <w:wordWrap/>
        <w:overflowPunct/>
        <w:topLinePunct w:val="0"/>
        <w:bidi w:val="0"/>
        <w:adjustRightInd/>
        <w:snapToGrid/>
        <w:spacing w:afterAutospacing="0" w:line="600" w:lineRule="exact"/>
        <w:ind w:right="0" w:rightChars="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项目绩效自评报告</w:t>
      </w:r>
      <w:bookmarkEnd w:id="0"/>
    </w:p>
    <w:p w14:paraId="45091A52">
      <w:pPr>
        <w:pStyle w:val="7"/>
        <w:pageBreakBefore w:val="0"/>
        <w:kinsoku/>
        <w:wordWrap/>
        <w:overflowPunct/>
        <w:topLinePunct w:val="0"/>
        <w:bidi w:val="0"/>
        <w:adjustRightInd/>
        <w:snapToGrid/>
        <w:spacing w:afterAutospacing="0" w:line="600" w:lineRule="exact"/>
        <w:ind w:right="0" w:rightChars="0" w:firstLine="880" w:firstLineChars="200"/>
        <w:jc w:val="center"/>
        <w:outlineLvl w:val="9"/>
        <w:rPr>
          <w:rFonts w:ascii="方正小标宋简体" w:hAnsi="方正小标宋简体" w:eastAsia="方正小标宋简体" w:cs="方正小标宋简体"/>
          <w:sz w:val="44"/>
          <w:szCs w:val="44"/>
        </w:rPr>
      </w:pPr>
    </w:p>
    <w:p w14:paraId="188CC349">
      <w:pPr>
        <w:pageBreakBefore w:val="0"/>
        <w:kinsoku/>
        <w:wordWrap/>
        <w:overflowPunct/>
        <w:topLinePunct w:val="0"/>
        <w:bidi w:val="0"/>
        <w:adjustRightInd/>
        <w:snapToGrid/>
        <w:spacing w:afterAutospacing="0" w:line="600" w:lineRule="exact"/>
        <w:ind w:right="0" w:rightChars="0" w:firstLine="880" w:firstLineChars="200"/>
        <w:jc w:val="both"/>
        <w:outlineLvl w:val="9"/>
        <w:rPr>
          <w:rFonts w:ascii="方正小标宋简体" w:hAnsi="方正小标宋简体" w:eastAsia="方正小标宋简体" w:cs="方正小标宋简体"/>
          <w:sz w:val="44"/>
          <w:szCs w:val="44"/>
        </w:rPr>
      </w:pPr>
    </w:p>
    <w:p w14:paraId="5568B2E6">
      <w:pPr>
        <w:pStyle w:val="7"/>
        <w:pageBreakBefore w:val="0"/>
        <w:kinsoku/>
        <w:wordWrap/>
        <w:overflowPunct/>
        <w:topLinePunct w:val="0"/>
        <w:bidi w:val="0"/>
        <w:adjustRightInd/>
        <w:snapToGrid/>
        <w:spacing w:afterAutospacing="0" w:line="600" w:lineRule="exact"/>
        <w:ind w:right="0" w:rightChars="0" w:firstLine="880" w:firstLineChars="200"/>
        <w:jc w:val="both"/>
        <w:outlineLvl w:val="9"/>
        <w:rPr>
          <w:rFonts w:ascii="方正小标宋简体" w:hAnsi="方正小标宋简体" w:eastAsia="方正小标宋简体" w:cs="方正小标宋简体"/>
          <w:sz w:val="44"/>
          <w:szCs w:val="44"/>
        </w:rPr>
      </w:pPr>
    </w:p>
    <w:p w14:paraId="2DE8F2E0">
      <w:pPr>
        <w:pageBreakBefore w:val="0"/>
        <w:kinsoku/>
        <w:wordWrap/>
        <w:overflowPunct/>
        <w:topLinePunct w:val="0"/>
        <w:bidi w:val="0"/>
        <w:adjustRightInd/>
        <w:snapToGrid/>
        <w:spacing w:afterAutospacing="0" w:line="600" w:lineRule="exact"/>
        <w:ind w:right="0" w:rightChars="0" w:firstLine="420" w:firstLineChars="200"/>
        <w:jc w:val="both"/>
        <w:outlineLvl w:val="9"/>
      </w:pPr>
    </w:p>
    <w:p w14:paraId="2005260E">
      <w:pPr>
        <w:pStyle w:val="7"/>
        <w:pageBreakBefore w:val="0"/>
        <w:kinsoku/>
        <w:wordWrap/>
        <w:overflowPunct/>
        <w:topLinePunct w:val="0"/>
        <w:bidi w:val="0"/>
        <w:adjustRightInd/>
        <w:snapToGrid/>
        <w:spacing w:afterAutospacing="0" w:line="600" w:lineRule="exact"/>
        <w:ind w:right="0" w:rightChars="0" w:firstLine="420" w:firstLineChars="200"/>
        <w:jc w:val="both"/>
        <w:outlineLvl w:val="9"/>
      </w:pPr>
    </w:p>
    <w:p w14:paraId="053ADD3D">
      <w:pPr>
        <w:pageBreakBefore w:val="0"/>
        <w:kinsoku/>
        <w:wordWrap/>
        <w:overflowPunct/>
        <w:topLinePunct w:val="0"/>
        <w:bidi w:val="0"/>
        <w:adjustRightInd/>
        <w:snapToGrid/>
        <w:spacing w:afterAutospacing="0" w:line="600" w:lineRule="exact"/>
        <w:ind w:right="0" w:rightChars="0" w:firstLine="420" w:firstLineChars="200"/>
        <w:jc w:val="both"/>
        <w:outlineLvl w:val="9"/>
      </w:pPr>
    </w:p>
    <w:p w14:paraId="32785B8F">
      <w:pPr>
        <w:pageBreakBefore w:val="0"/>
        <w:kinsoku/>
        <w:wordWrap/>
        <w:overflowPunct/>
        <w:topLinePunct w:val="0"/>
        <w:bidi w:val="0"/>
        <w:adjustRightInd/>
        <w:snapToGrid/>
        <w:spacing w:afterAutospacing="0" w:line="600" w:lineRule="exact"/>
        <w:ind w:right="0" w:rightChars="0" w:firstLine="420" w:firstLineChars="200"/>
        <w:jc w:val="both"/>
        <w:outlineLvl w:val="9"/>
      </w:pPr>
    </w:p>
    <w:p w14:paraId="044E8A3D">
      <w:pPr>
        <w:pageBreakBefore w:val="0"/>
        <w:kinsoku/>
        <w:wordWrap/>
        <w:overflowPunct/>
        <w:topLinePunct w:val="0"/>
        <w:bidi w:val="0"/>
        <w:adjustRightInd/>
        <w:snapToGrid/>
        <w:spacing w:afterAutospacing="0" w:line="600" w:lineRule="exact"/>
        <w:ind w:right="0" w:rightChars="0" w:firstLine="420" w:firstLineChars="200"/>
        <w:jc w:val="both"/>
        <w:outlineLvl w:val="9"/>
      </w:pPr>
    </w:p>
    <w:p w14:paraId="677B2C55">
      <w:pPr>
        <w:pageBreakBefore w:val="0"/>
        <w:kinsoku/>
        <w:wordWrap/>
        <w:overflowPunct/>
        <w:topLinePunct w:val="0"/>
        <w:bidi w:val="0"/>
        <w:adjustRightInd/>
        <w:snapToGrid/>
        <w:spacing w:afterAutospacing="0" w:line="600" w:lineRule="exact"/>
        <w:ind w:right="0" w:rightChars="0"/>
        <w:jc w:val="both"/>
        <w:outlineLvl w:val="9"/>
        <w:rPr>
          <w:rFonts w:hint="eastAsia" w:ascii="仿宋_GB2312" w:eastAsia="仿宋_GB2312"/>
          <w:sz w:val="32"/>
          <w:szCs w:val="32"/>
          <w:lang w:val="en-US" w:eastAsia="zh-CN"/>
        </w:rPr>
      </w:pPr>
    </w:p>
    <w:p w14:paraId="006D66A4">
      <w:pPr>
        <w:pageBreakBefore w:val="0"/>
        <w:kinsoku/>
        <w:wordWrap/>
        <w:overflowPunct/>
        <w:topLinePunct w:val="0"/>
        <w:bidi w:val="0"/>
        <w:adjustRightInd/>
        <w:snapToGrid/>
        <w:spacing w:afterAutospacing="0" w:line="600" w:lineRule="exact"/>
        <w:ind w:right="0" w:rightChars="0" w:firstLine="1280" w:firstLineChars="400"/>
        <w:jc w:val="both"/>
        <w:outlineLvl w:val="9"/>
        <w:rPr>
          <w:rFonts w:hint="default" w:ascii="仿宋_GB2312" w:eastAsia="仿宋_GB2312"/>
          <w:sz w:val="32"/>
          <w:szCs w:val="32"/>
          <w:lang w:val="en-US"/>
        </w:rPr>
      </w:pPr>
      <w:r>
        <w:rPr>
          <w:rFonts w:hint="eastAsia" w:ascii="仿宋_GB2312" w:eastAsia="仿宋_GB2312"/>
          <w:sz w:val="32"/>
          <w:szCs w:val="32"/>
          <w:lang w:val="en-US" w:eastAsia="zh-CN"/>
        </w:rPr>
        <w:t>部门名称</w:t>
      </w:r>
      <w:r>
        <w:rPr>
          <w:rFonts w:hint="eastAsia" w:ascii="华文仿宋" w:hAnsi="华文仿宋" w:eastAsia="华文仿宋"/>
          <w:sz w:val="32"/>
          <w:szCs w:val="32"/>
        </w:rPr>
        <w:t>：</w:t>
      </w:r>
      <w:r>
        <w:rPr>
          <w:rFonts w:hint="eastAsia" w:ascii="仿宋_GB2312" w:eastAsia="仿宋_GB2312"/>
          <w:sz w:val="32"/>
          <w:szCs w:val="32"/>
          <w:lang w:val="en-US" w:eastAsia="zh-CN"/>
        </w:rPr>
        <w:t>省农业农村厅扶贫协作与老区建设处</w:t>
      </w:r>
    </w:p>
    <w:p w14:paraId="3DA63BA0">
      <w:pPr>
        <w:pageBreakBefore w:val="0"/>
        <w:kinsoku/>
        <w:wordWrap/>
        <w:overflowPunct/>
        <w:topLinePunct w:val="0"/>
        <w:bidi w:val="0"/>
        <w:adjustRightInd/>
        <w:snapToGrid/>
        <w:spacing w:afterAutospacing="0" w:line="600" w:lineRule="exact"/>
        <w:ind w:right="0" w:rightChars="0" w:firstLine="1280" w:firstLineChars="400"/>
        <w:jc w:val="both"/>
        <w:outlineLvl w:val="9"/>
        <w:rPr>
          <w:rFonts w:hint="default" w:ascii="仿宋_GB2312" w:eastAsia="仿宋_GB2312"/>
          <w:sz w:val="32"/>
          <w:szCs w:val="32"/>
          <w:lang w:val="en-US" w:eastAsia="zh-CN"/>
        </w:rPr>
      </w:pPr>
      <w:r>
        <w:rPr>
          <w:rFonts w:hint="eastAsia" w:ascii="仿宋_GB2312" w:eastAsia="仿宋_GB2312"/>
          <w:sz w:val="32"/>
          <w:szCs w:val="32"/>
        </w:rPr>
        <w:t>填</w:t>
      </w:r>
      <w:r>
        <w:rPr>
          <w:rFonts w:hint="eastAsia" w:ascii="仿宋_GB2312" w:eastAsia="仿宋_GB2312"/>
          <w:sz w:val="32"/>
          <w:szCs w:val="32"/>
          <w:lang w:val="en-US" w:eastAsia="zh-CN"/>
        </w:rPr>
        <w:t xml:space="preserve"> </w:t>
      </w:r>
      <w:r>
        <w:rPr>
          <w:rFonts w:hint="eastAsia" w:ascii="仿宋_GB2312" w:eastAsia="仿宋_GB2312"/>
          <w:sz w:val="32"/>
          <w:szCs w:val="32"/>
        </w:rPr>
        <w:t>报</w:t>
      </w:r>
      <w:r>
        <w:rPr>
          <w:rFonts w:hint="eastAsia" w:ascii="仿宋_GB2312" w:eastAsia="仿宋_GB2312"/>
          <w:sz w:val="32"/>
          <w:szCs w:val="32"/>
          <w:lang w:val="en-US" w:eastAsia="zh-CN"/>
        </w:rPr>
        <w:t xml:space="preserve"> </w:t>
      </w:r>
      <w:r>
        <w:rPr>
          <w:rFonts w:hint="eastAsia" w:ascii="仿宋_GB2312" w:eastAsia="仿宋_GB2312"/>
          <w:sz w:val="32"/>
          <w:szCs w:val="32"/>
        </w:rPr>
        <w:t>人：</w:t>
      </w:r>
      <w:r>
        <w:rPr>
          <w:rFonts w:hint="eastAsia" w:ascii="仿宋_GB2312" w:eastAsia="仿宋_GB2312"/>
          <w:sz w:val="32"/>
          <w:szCs w:val="32"/>
          <w:lang w:val="en-US" w:eastAsia="zh-CN"/>
        </w:rPr>
        <w:t>刘 红</w:t>
      </w:r>
    </w:p>
    <w:p w14:paraId="3D77C026">
      <w:pPr>
        <w:pageBreakBefore w:val="0"/>
        <w:kinsoku/>
        <w:wordWrap/>
        <w:overflowPunct/>
        <w:topLinePunct w:val="0"/>
        <w:bidi w:val="0"/>
        <w:adjustRightInd/>
        <w:snapToGrid/>
        <w:spacing w:afterAutospacing="0" w:line="600" w:lineRule="exact"/>
        <w:ind w:right="0" w:rightChars="0" w:firstLine="1280" w:firstLineChars="400"/>
        <w:jc w:val="both"/>
        <w:outlineLvl w:val="9"/>
        <w:rPr>
          <w:rFonts w:hint="default" w:ascii="仿宋_GB2312" w:eastAsia="仿宋_GB2312"/>
          <w:sz w:val="32"/>
          <w:szCs w:val="32"/>
          <w:lang w:val="en-US" w:eastAsia="zh-CN"/>
        </w:rPr>
      </w:pPr>
      <w:r>
        <w:rPr>
          <w:rFonts w:hint="eastAsia" w:ascii="仿宋_GB2312" w:eastAsia="仿宋_GB2312"/>
          <w:sz w:val="32"/>
          <w:szCs w:val="32"/>
        </w:rPr>
        <w:t>联系电话：</w:t>
      </w:r>
      <w:r>
        <w:rPr>
          <w:rFonts w:hint="eastAsia" w:ascii="仿宋_GB2312" w:eastAsia="仿宋_GB2312"/>
          <w:sz w:val="32"/>
          <w:szCs w:val="32"/>
          <w:lang w:val="en-US" w:eastAsia="zh-CN"/>
        </w:rPr>
        <w:t>020-37289020</w:t>
      </w:r>
    </w:p>
    <w:p w14:paraId="59B98003">
      <w:pPr>
        <w:pageBreakBefore w:val="0"/>
        <w:kinsoku/>
        <w:wordWrap/>
        <w:overflowPunct/>
        <w:topLinePunct w:val="0"/>
        <w:bidi w:val="0"/>
        <w:adjustRightInd/>
        <w:snapToGrid/>
        <w:spacing w:afterAutospacing="0" w:line="600" w:lineRule="exact"/>
        <w:ind w:right="0" w:rightChars="0" w:firstLine="1280" w:firstLineChars="400"/>
        <w:jc w:val="both"/>
        <w:outlineLvl w:val="9"/>
        <w:rPr>
          <w:rFonts w:ascii="仿宋_GB2312" w:eastAsia="仿宋_GB2312"/>
          <w:sz w:val="32"/>
          <w:szCs w:val="32"/>
        </w:rPr>
      </w:pPr>
      <w:r>
        <w:rPr>
          <w:rFonts w:hint="eastAsia" w:ascii="仿宋_GB2312" w:eastAsia="仿宋_GB2312"/>
          <w:sz w:val="32"/>
          <w:szCs w:val="32"/>
        </w:rPr>
        <w:t>填报日期：202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w:t>
      </w:r>
    </w:p>
    <w:p w14:paraId="38C56850">
      <w:pPr>
        <w:pageBreakBefore w:val="0"/>
        <w:kinsoku/>
        <w:wordWrap/>
        <w:overflowPunct/>
        <w:topLinePunct w:val="0"/>
        <w:bidi w:val="0"/>
        <w:adjustRightInd/>
        <w:snapToGrid/>
        <w:spacing w:afterAutospacing="0" w:line="600" w:lineRule="exact"/>
        <w:ind w:right="0" w:rightChars="0" w:firstLine="800" w:firstLineChars="200"/>
        <w:jc w:val="center"/>
        <w:outlineLvl w:val="9"/>
        <w:rPr>
          <w:rFonts w:hint="default" w:ascii="Bahnschrift SemiBold SemiCondensed" w:hAnsi="Bahnschrift SemiBold SemiCondensed" w:eastAsia="方正小标宋简体" w:cs="Bahnschrift SemiBold SemiCondensed"/>
          <w:kern w:val="0"/>
          <w:sz w:val="40"/>
          <w:szCs w:val="40"/>
        </w:rPr>
        <w:sectPr>
          <w:pgSz w:w="11906" w:h="16838"/>
          <w:pgMar w:top="2211" w:right="1531" w:bottom="1871" w:left="1531" w:header="851" w:footer="992" w:gutter="0"/>
          <w:pgNumType w:fmt="numberInDash" w:start="1"/>
          <w:cols w:space="720" w:num="1"/>
          <w:docGrid w:type="lines" w:linePitch="312" w:charSpace="0"/>
        </w:sectPr>
      </w:pPr>
    </w:p>
    <w:p w14:paraId="0322CAE5">
      <w:pPr>
        <w:pageBreakBefore w:val="0"/>
        <w:kinsoku/>
        <w:wordWrap/>
        <w:overflowPunct/>
        <w:topLinePunct w:val="0"/>
        <w:bidi w:val="0"/>
        <w:adjustRightInd/>
        <w:snapToGrid/>
        <w:spacing w:afterAutospacing="0" w:line="600" w:lineRule="exact"/>
        <w:ind w:right="0" w:rightChars="0" w:firstLine="800" w:firstLineChars="200"/>
        <w:jc w:val="center"/>
        <w:outlineLvl w:val="9"/>
        <w:rPr>
          <w:rFonts w:hint="default" w:ascii="Bahnschrift SemiBold SemiCondensed" w:hAnsi="Bahnschrift SemiBold SemiCondensed" w:eastAsia="方正小标宋简体" w:cs="Bahnschrift SemiBold SemiCondensed"/>
          <w:kern w:val="0"/>
          <w:sz w:val="44"/>
          <w:szCs w:val="44"/>
        </w:rPr>
      </w:pPr>
      <w:r>
        <w:rPr>
          <w:rFonts w:hint="default" w:ascii="Bahnschrift SemiBold SemiCondensed" w:hAnsi="Bahnschrift SemiBold SemiCondensed" w:eastAsia="方正小标宋简体" w:cs="Bahnschrift SemiBold SemiCondensed"/>
          <w:kern w:val="0"/>
          <w:sz w:val="40"/>
          <w:szCs w:val="40"/>
        </w:rPr>
        <w:t>目  录</w:t>
      </w:r>
    </w:p>
    <w:p w14:paraId="1F714558"/>
    <w:p w14:paraId="5ADAEF2B">
      <w:pPr>
        <w:pStyle w:val="12"/>
        <w:tabs>
          <w:tab w:val="right" w:leader="dot" w:pos="8844"/>
        </w:tabs>
        <w:rPr>
          <w:rFonts w:ascii="宋体" w:hAnsi="宋体" w:eastAsia="宋体"/>
        </w:rPr>
      </w:pPr>
    </w:p>
    <w:p w14:paraId="272D5764">
      <w:pPr>
        <w:spacing w:before="0" w:beforeLines="0" w:after="0" w:afterLines="0" w:line="240" w:lineRule="auto"/>
        <w:ind w:left="0" w:leftChars="0" w:right="0" w:rightChars="0" w:firstLine="0" w:firstLineChars="0"/>
        <w:jc w:val="center"/>
      </w:pPr>
      <w:r>
        <w:fldChar w:fldCharType="begin"/>
      </w:r>
      <w:r>
        <w:instrText xml:space="preserve">TOC \o "1-3" \h \u </w:instrText>
      </w:r>
      <w:r>
        <w:fldChar w:fldCharType="separate"/>
      </w:r>
    </w:p>
    <w:p w14:paraId="1F184473">
      <w:pPr>
        <w:pStyle w:val="12"/>
        <w:tabs>
          <w:tab w:val="right" w:leader="dot" w:pos="8844"/>
        </w:tabs>
      </w:pPr>
      <w:r>
        <w:fldChar w:fldCharType="begin"/>
      </w:r>
      <w:r>
        <w:instrText xml:space="preserve"> HYPERLINK \l _Toc4007 </w:instrText>
      </w:r>
      <w:r>
        <w:fldChar w:fldCharType="separate"/>
      </w:r>
      <w:r>
        <w:rPr>
          <w:rFonts w:hint="eastAsia" w:ascii="黑体" w:hAnsi="黑体" w:eastAsia="黑体" w:cs="黑体"/>
          <w:bCs/>
          <w:kern w:val="2"/>
          <w:sz w:val="32"/>
          <w:szCs w:val="32"/>
          <w:lang w:val="en-US" w:eastAsia="zh-CN" w:bidi="ar-SA"/>
        </w:rPr>
        <w:t>一、基本情况</w:t>
      </w:r>
      <w:r>
        <w:rPr>
          <w:rFonts w:hint="eastAsia" w:ascii="仿宋_GB2312" w:hAnsi="仿宋_GB2312" w:eastAsia="仿宋_GB2312" w:cs="仿宋_GB2312"/>
          <w:kern w:val="2"/>
          <w:sz w:val="32"/>
          <w:szCs w:val="40"/>
          <w:lang w:val="en-US" w:eastAsia="zh-CN" w:bidi="ar-SA"/>
        </w:rPr>
        <w:tab/>
      </w:r>
      <w:r>
        <w:rPr>
          <w:rFonts w:hint="eastAsia" w:ascii="仿宋_GB2312" w:hAnsi="仿宋_GB2312" w:eastAsia="仿宋_GB2312" w:cs="仿宋_GB2312"/>
          <w:kern w:val="2"/>
          <w:sz w:val="32"/>
          <w:szCs w:val="40"/>
          <w:lang w:val="en-US" w:eastAsia="zh-CN" w:bidi="ar-SA"/>
        </w:rPr>
        <w:t>1</w:t>
      </w:r>
      <w:r>
        <w:fldChar w:fldCharType="end"/>
      </w:r>
    </w:p>
    <w:p w14:paraId="4A9FD475">
      <w:pPr>
        <w:pStyle w:val="13"/>
        <w:tabs>
          <w:tab w:val="right" w:leader="dot" w:pos="8844"/>
        </w:tabs>
        <w:ind w:left="0" w:leftChars="0" w:firstLine="0" w:firstLineChars="0"/>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fldChar w:fldCharType="begin"/>
      </w:r>
      <w:r>
        <w:rPr>
          <w:rFonts w:hint="eastAsia" w:ascii="仿宋_GB2312" w:hAnsi="仿宋_GB2312" w:eastAsia="仿宋_GB2312" w:cs="仿宋_GB2312"/>
          <w:kern w:val="2"/>
          <w:sz w:val="32"/>
          <w:szCs w:val="40"/>
          <w:lang w:val="en-US" w:eastAsia="zh-CN" w:bidi="ar-SA"/>
        </w:rPr>
        <w:instrText xml:space="preserve"> HYPERLINK \l _Toc27421 </w:instrText>
      </w:r>
      <w:r>
        <w:rPr>
          <w:rFonts w:hint="eastAsia" w:ascii="仿宋_GB2312" w:hAnsi="仿宋_GB2312" w:eastAsia="仿宋_GB2312" w:cs="仿宋_GB2312"/>
          <w:kern w:val="2"/>
          <w:sz w:val="32"/>
          <w:szCs w:val="40"/>
          <w:lang w:val="en-US" w:eastAsia="zh-CN" w:bidi="ar-SA"/>
        </w:rPr>
        <w:fldChar w:fldCharType="separate"/>
      </w:r>
      <w:r>
        <w:rPr>
          <w:rFonts w:hint="eastAsia" w:ascii="仿宋_GB2312" w:hAnsi="仿宋_GB2312" w:eastAsia="仿宋_GB2312" w:cs="仿宋_GB2312"/>
          <w:kern w:val="2"/>
          <w:sz w:val="32"/>
          <w:szCs w:val="40"/>
          <w:lang w:val="en-US" w:eastAsia="zh-CN" w:bidi="ar-SA"/>
        </w:rPr>
        <w:t>（一）资金安排情况</w:t>
      </w:r>
      <w:r>
        <w:rPr>
          <w:rFonts w:hint="eastAsia" w:ascii="仿宋_GB2312" w:hAnsi="仿宋_GB2312" w:eastAsia="仿宋_GB2312" w:cs="仿宋_GB2312"/>
          <w:kern w:val="2"/>
          <w:sz w:val="32"/>
          <w:szCs w:val="40"/>
          <w:lang w:val="en-US" w:eastAsia="zh-CN" w:bidi="ar-SA"/>
        </w:rPr>
        <w:tab/>
      </w:r>
      <w:r>
        <w:rPr>
          <w:rFonts w:hint="eastAsia" w:ascii="仿宋_GB2312" w:hAnsi="仿宋_GB2312" w:eastAsia="仿宋_GB2312" w:cs="仿宋_GB2312"/>
          <w:kern w:val="2"/>
          <w:sz w:val="32"/>
          <w:szCs w:val="40"/>
          <w:lang w:val="en-US" w:eastAsia="zh-CN" w:bidi="ar-SA"/>
        </w:rPr>
        <w:t>1</w:t>
      </w:r>
      <w:r>
        <w:rPr>
          <w:rFonts w:hint="eastAsia" w:ascii="仿宋_GB2312" w:hAnsi="仿宋_GB2312" w:eastAsia="仿宋_GB2312" w:cs="仿宋_GB2312"/>
          <w:kern w:val="2"/>
          <w:sz w:val="32"/>
          <w:szCs w:val="40"/>
          <w:lang w:val="en-US" w:eastAsia="zh-CN" w:bidi="ar-SA"/>
        </w:rPr>
        <w:fldChar w:fldCharType="end"/>
      </w:r>
    </w:p>
    <w:p w14:paraId="762C2032">
      <w:pPr>
        <w:pStyle w:val="13"/>
        <w:tabs>
          <w:tab w:val="right" w:leader="dot" w:pos="8844"/>
        </w:tabs>
        <w:ind w:left="0" w:leftChars="0" w:firstLine="0" w:firstLineChars="0"/>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fldChar w:fldCharType="begin"/>
      </w:r>
      <w:r>
        <w:rPr>
          <w:rFonts w:hint="eastAsia" w:ascii="仿宋_GB2312" w:hAnsi="仿宋_GB2312" w:eastAsia="仿宋_GB2312" w:cs="仿宋_GB2312"/>
          <w:kern w:val="2"/>
          <w:sz w:val="32"/>
          <w:szCs w:val="40"/>
          <w:lang w:val="en-US" w:eastAsia="zh-CN" w:bidi="ar-SA"/>
        </w:rPr>
        <w:instrText xml:space="preserve"> HYPERLINK \l _Toc4906 </w:instrText>
      </w:r>
      <w:r>
        <w:rPr>
          <w:rFonts w:hint="eastAsia" w:ascii="仿宋_GB2312" w:hAnsi="仿宋_GB2312" w:eastAsia="仿宋_GB2312" w:cs="仿宋_GB2312"/>
          <w:kern w:val="2"/>
          <w:sz w:val="32"/>
          <w:szCs w:val="40"/>
          <w:lang w:val="en-US" w:eastAsia="zh-CN" w:bidi="ar-SA"/>
        </w:rPr>
        <w:fldChar w:fldCharType="separate"/>
      </w:r>
      <w:r>
        <w:rPr>
          <w:rFonts w:hint="eastAsia" w:ascii="仿宋_GB2312" w:hAnsi="仿宋_GB2312" w:eastAsia="仿宋_GB2312" w:cs="仿宋_GB2312"/>
          <w:kern w:val="2"/>
          <w:sz w:val="32"/>
          <w:szCs w:val="40"/>
          <w:lang w:val="en-US" w:eastAsia="zh-CN" w:bidi="ar-SA"/>
        </w:rPr>
        <w:t>（二）资金分配方式</w:t>
      </w:r>
      <w:r>
        <w:rPr>
          <w:rFonts w:hint="eastAsia" w:ascii="仿宋_GB2312" w:hAnsi="仿宋_GB2312" w:eastAsia="仿宋_GB2312" w:cs="仿宋_GB2312"/>
          <w:kern w:val="2"/>
          <w:sz w:val="32"/>
          <w:szCs w:val="40"/>
          <w:lang w:val="en-US" w:eastAsia="zh-CN" w:bidi="ar-SA"/>
        </w:rPr>
        <w:tab/>
      </w:r>
      <w:r>
        <w:rPr>
          <w:rFonts w:hint="eastAsia" w:ascii="仿宋_GB2312" w:hAnsi="仿宋_GB2312" w:eastAsia="仿宋_GB2312" w:cs="仿宋_GB2312"/>
          <w:kern w:val="2"/>
          <w:sz w:val="32"/>
          <w:szCs w:val="40"/>
          <w:lang w:val="en-US" w:eastAsia="zh-CN" w:bidi="ar-SA"/>
        </w:rPr>
        <w:t>1</w:t>
      </w:r>
      <w:r>
        <w:rPr>
          <w:rFonts w:hint="eastAsia" w:ascii="仿宋_GB2312" w:hAnsi="仿宋_GB2312" w:eastAsia="仿宋_GB2312" w:cs="仿宋_GB2312"/>
          <w:kern w:val="2"/>
          <w:sz w:val="32"/>
          <w:szCs w:val="40"/>
          <w:lang w:val="en-US" w:eastAsia="zh-CN" w:bidi="ar-SA"/>
        </w:rPr>
        <w:fldChar w:fldCharType="end"/>
      </w:r>
    </w:p>
    <w:p w14:paraId="2F9D4CEE">
      <w:pPr>
        <w:pStyle w:val="13"/>
        <w:tabs>
          <w:tab w:val="right" w:leader="dot" w:pos="8844"/>
        </w:tabs>
        <w:ind w:left="0" w:leftChars="0" w:firstLine="0" w:firstLineChars="0"/>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fldChar w:fldCharType="begin"/>
      </w:r>
      <w:r>
        <w:rPr>
          <w:rFonts w:hint="eastAsia" w:ascii="仿宋_GB2312" w:hAnsi="仿宋_GB2312" w:eastAsia="仿宋_GB2312" w:cs="仿宋_GB2312"/>
          <w:kern w:val="2"/>
          <w:sz w:val="32"/>
          <w:szCs w:val="40"/>
          <w:lang w:val="en-US" w:eastAsia="zh-CN" w:bidi="ar-SA"/>
        </w:rPr>
        <w:instrText xml:space="preserve"> HYPERLINK \l _Toc1826 </w:instrText>
      </w:r>
      <w:r>
        <w:rPr>
          <w:rFonts w:hint="eastAsia" w:ascii="仿宋_GB2312" w:hAnsi="仿宋_GB2312" w:eastAsia="仿宋_GB2312" w:cs="仿宋_GB2312"/>
          <w:kern w:val="2"/>
          <w:sz w:val="32"/>
          <w:szCs w:val="40"/>
          <w:lang w:val="en-US" w:eastAsia="zh-CN" w:bidi="ar-SA"/>
        </w:rPr>
        <w:fldChar w:fldCharType="separate"/>
      </w:r>
      <w:r>
        <w:rPr>
          <w:rFonts w:hint="eastAsia" w:ascii="仿宋_GB2312" w:hAnsi="仿宋_GB2312" w:eastAsia="仿宋_GB2312" w:cs="仿宋_GB2312"/>
          <w:kern w:val="2"/>
          <w:sz w:val="32"/>
          <w:szCs w:val="40"/>
          <w:lang w:val="en-US" w:eastAsia="zh-CN" w:bidi="ar-SA"/>
        </w:rPr>
        <w:t>（三）资金主要用途</w:t>
      </w:r>
      <w:r>
        <w:rPr>
          <w:rFonts w:hint="eastAsia" w:ascii="仿宋_GB2312" w:hAnsi="仿宋_GB2312" w:eastAsia="仿宋_GB2312" w:cs="仿宋_GB2312"/>
          <w:kern w:val="2"/>
          <w:sz w:val="32"/>
          <w:szCs w:val="40"/>
          <w:lang w:val="en-US" w:eastAsia="zh-CN" w:bidi="ar-SA"/>
        </w:rPr>
        <w:tab/>
      </w:r>
      <w:r>
        <w:rPr>
          <w:rFonts w:hint="eastAsia" w:ascii="仿宋_GB2312" w:hAnsi="仿宋_GB2312" w:eastAsia="仿宋_GB2312" w:cs="仿宋_GB2312"/>
          <w:kern w:val="2"/>
          <w:sz w:val="32"/>
          <w:szCs w:val="40"/>
          <w:lang w:val="en-US" w:eastAsia="zh-CN" w:bidi="ar-SA"/>
        </w:rPr>
        <w:t>4</w:t>
      </w:r>
      <w:r>
        <w:rPr>
          <w:rFonts w:hint="eastAsia" w:ascii="仿宋_GB2312" w:hAnsi="仿宋_GB2312" w:eastAsia="仿宋_GB2312" w:cs="仿宋_GB2312"/>
          <w:kern w:val="2"/>
          <w:sz w:val="32"/>
          <w:szCs w:val="40"/>
          <w:lang w:val="en-US" w:eastAsia="zh-CN" w:bidi="ar-SA"/>
        </w:rPr>
        <w:fldChar w:fldCharType="end"/>
      </w:r>
    </w:p>
    <w:p w14:paraId="304360ED">
      <w:pPr>
        <w:pStyle w:val="13"/>
        <w:tabs>
          <w:tab w:val="right" w:leader="dot" w:pos="8844"/>
        </w:tabs>
        <w:ind w:left="0" w:leftChars="0" w:firstLine="0" w:firstLineChars="0"/>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fldChar w:fldCharType="begin"/>
      </w:r>
      <w:r>
        <w:rPr>
          <w:rFonts w:hint="eastAsia" w:ascii="仿宋_GB2312" w:hAnsi="仿宋_GB2312" w:eastAsia="仿宋_GB2312" w:cs="仿宋_GB2312"/>
          <w:kern w:val="2"/>
          <w:sz w:val="32"/>
          <w:szCs w:val="40"/>
          <w:lang w:val="en-US" w:eastAsia="zh-CN" w:bidi="ar-SA"/>
        </w:rPr>
        <w:instrText xml:space="preserve"> HYPERLINK \l _Toc21644 </w:instrText>
      </w:r>
      <w:r>
        <w:rPr>
          <w:rFonts w:hint="eastAsia" w:ascii="仿宋_GB2312" w:hAnsi="仿宋_GB2312" w:eastAsia="仿宋_GB2312" w:cs="仿宋_GB2312"/>
          <w:kern w:val="2"/>
          <w:sz w:val="32"/>
          <w:szCs w:val="40"/>
          <w:lang w:val="en-US" w:eastAsia="zh-CN" w:bidi="ar-SA"/>
        </w:rPr>
        <w:fldChar w:fldCharType="separate"/>
      </w:r>
      <w:r>
        <w:rPr>
          <w:rFonts w:hint="eastAsia" w:ascii="仿宋_GB2312" w:hAnsi="仿宋_GB2312" w:eastAsia="仿宋_GB2312" w:cs="仿宋_GB2312"/>
          <w:kern w:val="2"/>
          <w:sz w:val="32"/>
          <w:szCs w:val="40"/>
          <w:lang w:val="en-US" w:eastAsia="zh-CN" w:bidi="ar-SA"/>
        </w:rPr>
        <w:t>（四）扶持对象</w:t>
      </w:r>
      <w:r>
        <w:rPr>
          <w:rFonts w:hint="eastAsia" w:ascii="仿宋_GB2312" w:hAnsi="仿宋_GB2312" w:eastAsia="仿宋_GB2312" w:cs="仿宋_GB2312"/>
          <w:kern w:val="2"/>
          <w:sz w:val="32"/>
          <w:szCs w:val="40"/>
          <w:lang w:val="en-US" w:eastAsia="zh-CN" w:bidi="ar-SA"/>
        </w:rPr>
        <w:tab/>
      </w:r>
      <w:r>
        <w:rPr>
          <w:rFonts w:hint="eastAsia" w:ascii="仿宋_GB2312" w:hAnsi="仿宋_GB2312" w:eastAsia="仿宋_GB2312" w:cs="仿宋_GB2312"/>
          <w:kern w:val="2"/>
          <w:sz w:val="32"/>
          <w:szCs w:val="40"/>
          <w:lang w:val="en-US" w:eastAsia="zh-CN" w:bidi="ar-SA"/>
        </w:rPr>
        <w:t>4</w:t>
      </w:r>
      <w:r>
        <w:rPr>
          <w:rFonts w:hint="eastAsia" w:ascii="仿宋_GB2312" w:hAnsi="仿宋_GB2312" w:eastAsia="仿宋_GB2312" w:cs="仿宋_GB2312"/>
          <w:kern w:val="2"/>
          <w:sz w:val="32"/>
          <w:szCs w:val="40"/>
          <w:lang w:val="en-US" w:eastAsia="zh-CN" w:bidi="ar-SA"/>
        </w:rPr>
        <w:fldChar w:fldCharType="end"/>
      </w:r>
    </w:p>
    <w:p w14:paraId="0A1A13A0">
      <w:pPr>
        <w:pStyle w:val="13"/>
        <w:tabs>
          <w:tab w:val="right" w:leader="dot" w:pos="8844"/>
        </w:tabs>
        <w:ind w:left="0" w:leftChars="0" w:firstLine="0" w:firstLineChars="0"/>
      </w:pPr>
      <w:r>
        <w:rPr>
          <w:rFonts w:hint="eastAsia" w:ascii="仿宋_GB2312" w:hAnsi="仿宋_GB2312" w:eastAsia="仿宋_GB2312" w:cs="仿宋_GB2312"/>
          <w:kern w:val="2"/>
          <w:sz w:val="32"/>
          <w:szCs w:val="40"/>
          <w:lang w:val="en-US" w:eastAsia="zh-CN" w:bidi="ar-SA"/>
        </w:rPr>
        <w:fldChar w:fldCharType="begin"/>
      </w:r>
      <w:r>
        <w:rPr>
          <w:rFonts w:hint="eastAsia" w:ascii="仿宋_GB2312" w:hAnsi="仿宋_GB2312" w:eastAsia="仿宋_GB2312" w:cs="仿宋_GB2312"/>
          <w:kern w:val="2"/>
          <w:sz w:val="32"/>
          <w:szCs w:val="40"/>
          <w:lang w:val="en-US" w:eastAsia="zh-CN" w:bidi="ar-SA"/>
        </w:rPr>
        <w:instrText xml:space="preserve"> HYPERLINK \l _Toc19180 </w:instrText>
      </w:r>
      <w:r>
        <w:rPr>
          <w:rFonts w:hint="eastAsia" w:ascii="仿宋_GB2312" w:hAnsi="仿宋_GB2312" w:eastAsia="仿宋_GB2312" w:cs="仿宋_GB2312"/>
          <w:kern w:val="2"/>
          <w:sz w:val="32"/>
          <w:szCs w:val="40"/>
          <w:lang w:val="en-US" w:eastAsia="zh-CN" w:bidi="ar-SA"/>
        </w:rPr>
        <w:fldChar w:fldCharType="separate"/>
      </w:r>
      <w:r>
        <w:rPr>
          <w:rFonts w:hint="eastAsia" w:ascii="仿宋_GB2312" w:hAnsi="仿宋_GB2312" w:eastAsia="仿宋_GB2312" w:cs="仿宋_GB2312"/>
          <w:kern w:val="2"/>
          <w:sz w:val="32"/>
          <w:szCs w:val="40"/>
          <w:lang w:val="en-US" w:eastAsia="zh-CN" w:bidi="ar-SA"/>
        </w:rPr>
        <w:t>（五）绩效目标</w:t>
      </w:r>
      <w:r>
        <w:rPr>
          <w:rFonts w:hint="eastAsia" w:ascii="仿宋_GB2312" w:hAnsi="仿宋_GB2312" w:eastAsia="仿宋_GB2312" w:cs="仿宋_GB2312"/>
          <w:kern w:val="2"/>
          <w:sz w:val="32"/>
          <w:szCs w:val="40"/>
          <w:lang w:val="en-US" w:eastAsia="zh-CN" w:bidi="ar-SA"/>
        </w:rPr>
        <w:tab/>
      </w:r>
      <w:r>
        <w:rPr>
          <w:rFonts w:hint="eastAsia" w:ascii="仿宋_GB2312" w:hAnsi="仿宋_GB2312" w:eastAsia="仿宋_GB2312" w:cs="仿宋_GB2312"/>
          <w:kern w:val="2"/>
          <w:sz w:val="32"/>
          <w:szCs w:val="40"/>
          <w:lang w:val="en-US" w:eastAsia="zh-CN" w:bidi="ar-SA"/>
        </w:rPr>
        <w:t>5</w:t>
      </w:r>
      <w:r>
        <w:rPr>
          <w:rFonts w:hint="eastAsia" w:ascii="仿宋_GB2312" w:hAnsi="仿宋_GB2312" w:eastAsia="仿宋_GB2312" w:cs="仿宋_GB2312"/>
          <w:kern w:val="2"/>
          <w:sz w:val="32"/>
          <w:szCs w:val="40"/>
          <w:lang w:val="en-US" w:eastAsia="zh-CN" w:bidi="ar-SA"/>
        </w:rPr>
        <w:fldChar w:fldCharType="end"/>
      </w:r>
    </w:p>
    <w:p w14:paraId="331C1A5C">
      <w:pPr>
        <w:pStyle w:val="12"/>
        <w:tabs>
          <w:tab w:val="right" w:leader="dot" w:pos="8844"/>
        </w:tabs>
      </w:pPr>
      <w:r>
        <w:fldChar w:fldCharType="begin"/>
      </w:r>
      <w:r>
        <w:instrText xml:space="preserve"> HYPERLINK \l _Toc13658 </w:instrText>
      </w:r>
      <w:r>
        <w:fldChar w:fldCharType="separate"/>
      </w:r>
      <w:r>
        <w:rPr>
          <w:rFonts w:hint="eastAsia" w:ascii="黑体" w:hAnsi="黑体" w:eastAsia="黑体" w:cs="黑体"/>
          <w:bCs/>
          <w:kern w:val="2"/>
          <w:sz w:val="32"/>
          <w:szCs w:val="32"/>
          <w:lang w:val="en-US" w:eastAsia="zh-CN" w:bidi="ar-SA"/>
        </w:rPr>
        <w:t>二、自评情况</w:t>
      </w:r>
      <w:r>
        <w:rPr>
          <w:rFonts w:hint="eastAsia" w:ascii="仿宋_GB2312" w:hAnsi="仿宋_GB2312" w:eastAsia="仿宋_GB2312" w:cs="仿宋_GB2312"/>
          <w:kern w:val="2"/>
          <w:sz w:val="32"/>
          <w:szCs w:val="40"/>
          <w:lang w:val="en-US" w:eastAsia="zh-CN" w:bidi="ar-SA"/>
        </w:rPr>
        <w:tab/>
      </w:r>
      <w:r>
        <w:rPr>
          <w:rFonts w:hint="eastAsia" w:ascii="仿宋_GB2312" w:hAnsi="仿宋_GB2312" w:eastAsia="仿宋_GB2312" w:cs="仿宋_GB2312"/>
          <w:kern w:val="2"/>
          <w:sz w:val="32"/>
          <w:szCs w:val="40"/>
          <w:lang w:val="en-US" w:eastAsia="zh-CN" w:bidi="ar-SA"/>
        </w:rPr>
        <w:t>7</w:t>
      </w:r>
      <w:r>
        <w:fldChar w:fldCharType="end"/>
      </w:r>
    </w:p>
    <w:p w14:paraId="4DA52118">
      <w:pPr>
        <w:pStyle w:val="13"/>
        <w:tabs>
          <w:tab w:val="right" w:leader="dot" w:pos="8844"/>
        </w:tabs>
        <w:ind w:left="0" w:leftChars="0" w:firstLine="0" w:firstLineChars="0"/>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fldChar w:fldCharType="begin"/>
      </w:r>
      <w:r>
        <w:rPr>
          <w:rFonts w:hint="eastAsia" w:ascii="仿宋_GB2312" w:hAnsi="仿宋_GB2312" w:eastAsia="仿宋_GB2312" w:cs="仿宋_GB2312"/>
          <w:kern w:val="2"/>
          <w:sz w:val="32"/>
          <w:szCs w:val="40"/>
          <w:lang w:val="en-US" w:eastAsia="zh-CN" w:bidi="ar-SA"/>
        </w:rPr>
        <w:instrText xml:space="preserve"> HYPERLINK \l _Toc31439 </w:instrText>
      </w:r>
      <w:r>
        <w:rPr>
          <w:rFonts w:hint="eastAsia" w:ascii="仿宋_GB2312" w:hAnsi="仿宋_GB2312" w:eastAsia="仿宋_GB2312" w:cs="仿宋_GB2312"/>
          <w:kern w:val="2"/>
          <w:sz w:val="32"/>
          <w:szCs w:val="40"/>
          <w:lang w:val="en-US" w:eastAsia="zh-CN" w:bidi="ar-SA"/>
        </w:rPr>
        <w:fldChar w:fldCharType="separate"/>
      </w:r>
      <w:r>
        <w:rPr>
          <w:rFonts w:hint="eastAsia" w:ascii="仿宋_GB2312" w:hAnsi="仿宋_GB2312" w:eastAsia="仿宋_GB2312" w:cs="仿宋_GB2312"/>
          <w:kern w:val="2"/>
          <w:sz w:val="32"/>
          <w:szCs w:val="40"/>
          <w:lang w:val="en-US" w:eastAsia="zh-CN" w:bidi="ar-SA"/>
        </w:rPr>
        <w:t>（一）自评结论</w:t>
      </w:r>
      <w:r>
        <w:rPr>
          <w:rFonts w:hint="eastAsia" w:ascii="仿宋_GB2312" w:hAnsi="仿宋_GB2312" w:eastAsia="仿宋_GB2312" w:cs="仿宋_GB2312"/>
          <w:kern w:val="2"/>
          <w:sz w:val="32"/>
          <w:szCs w:val="40"/>
          <w:lang w:val="en-US" w:eastAsia="zh-CN" w:bidi="ar-SA"/>
        </w:rPr>
        <w:tab/>
      </w:r>
      <w:r>
        <w:rPr>
          <w:rFonts w:hint="eastAsia" w:ascii="仿宋_GB2312" w:hAnsi="仿宋_GB2312" w:eastAsia="仿宋_GB2312" w:cs="仿宋_GB2312"/>
          <w:kern w:val="2"/>
          <w:sz w:val="32"/>
          <w:szCs w:val="40"/>
          <w:lang w:val="en-US" w:eastAsia="zh-CN" w:bidi="ar-SA"/>
        </w:rPr>
        <w:t>7</w:t>
      </w:r>
      <w:r>
        <w:rPr>
          <w:rFonts w:hint="eastAsia" w:ascii="仿宋_GB2312" w:hAnsi="仿宋_GB2312" w:eastAsia="仿宋_GB2312" w:cs="仿宋_GB2312"/>
          <w:kern w:val="2"/>
          <w:sz w:val="32"/>
          <w:szCs w:val="40"/>
          <w:lang w:val="en-US" w:eastAsia="zh-CN" w:bidi="ar-SA"/>
        </w:rPr>
        <w:fldChar w:fldCharType="end"/>
      </w:r>
    </w:p>
    <w:p w14:paraId="214389AD">
      <w:pPr>
        <w:pStyle w:val="13"/>
        <w:tabs>
          <w:tab w:val="right" w:leader="dot" w:pos="8844"/>
        </w:tabs>
        <w:ind w:left="0" w:leftChars="0" w:firstLine="0" w:firstLineChars="0"/>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fldChar w:fldCharType="begin"/>
      </w:r>
      <w:r>
        <w:rPr>
          <w:rFonts w:hint="eastAsia" w:ascii="仿宋_GB2312" w:hAnsi="仿宋_GB2312" w:eastAsia="仿宋_GB2312" w:cs="仿宋_GB2312"/>
          <w:kern w:val="2"/>
          <w:sz w:val="32"/>
          <w:szCs w:val="40"/>
          <w:lang w:val="en-US" w:eastAsia="zh-CN" w:bidi="ar-SA"/>
        </w:rPr>
        <w:instrText xml:space="preserve"> HYPERLINK \l _Toc19879 </w:instrText>
      </w:r>
      <w:r>
        <w:rPr>
          <w:rFonts w:hint="eastAsia" w:ascii="仿宋_GB2312" w:hAnsi="仿宋_GB2312" w:eastAsia="仿宋_GB2312" w:cs="仿宋_GB2312"/>
          <w:kern w:val="2"/>
          <w:sz w:val="32"/>
          <w:szCs w:val="40"/>
          <w:lang w:val="en-US" w:eastAsia="zh-CN" w:bidi="ar-SA"/>
        </w:rPr>
        <w:fldChar w:fldCharType="separate"/>
      </w:r>
      <w:r>
        <w:rPr>
          <w:rFonts w:hint="eastAsia" w:ascii="仿宋_GB2312" w:hAnsi="仿宋_GB2312" w:eastAsia="仿宋_GB2312" w:cs="仿宋_GB2312"/>
          <w:kern w:val="2"/>
          <w:sz w:val="32"/>
          <w:szCs w:val="40"/>
          <w:lang w:val="en-US" w:eastAsia="zh-CN" w:bidi="ar-SA"/>
        </w:rPr>
        <w:t>（二）专项资金使用绩效</w:t>
      </w:r>
      <w:r>
        <w:rPr>
          <w:rFonts w:hint="eastAsia" w:ascii="仿宋_GB2312" w:hAnsi="仿宋_GB2312" w:eastAsia="仿宋_GB2312" w:cs="仿宋_GB2312"/>
          <w:kern w:val="2"/>
          <w:sz w:val="32"/>
          <w:szCs w:val="40"/>
          <w:lang w:val="en-US" w:eastAsia="zh-CN" w:bidi="ar-SA"/>
        </w:rPr>
        <w:tab/>
      </w:r>
      <w:r>
        <w:rPr>
          <w:rFonts w:hint="eastAsia" w:ascii="仿宋_GB2312" w:hAnsi="仿宋_GB2312" w:eastAsia="仿宋_GB2312" w:cs="仿宋_GB2312"/>
          <w:kern w:val="2"/>
          <w:sz w:val="32"/>
          <w:szCs w:val="40"/>
          <w:lang w:val="en-US" w:eastAsia="zh-CN" w:bidi="ar-SA"/>
        </w:rPr>
        <w:fldChar w:fldCharType="begin"/>
      </w:r>
      <w:r>
        <w:rPr>
          <w:rFonts w:hint="eastAsia" w:ascii="仿宋_GB2312" w:hAnsi="仿宋_GB2312" w:eastAsia="仿宋_GB2312" w:cs="仿宋_GB2312"/>
          <w:kern w:val="2"/>
          <w:sz w:val="32"/>
          <w:szCs w:val="40"/>
          <w:lang w:val="en-US" w:eastAsia="zh-CN" w:bidi="ar-SA"/>
        </w:rPr>
        <w:instrText xml:space="preserve"> PAGEREF _Toc19879 \h </w:instrText>
      </w:r>
      <w:r>
        <w:rPr>
          <w:rFonts w:hint="eastAsia" w:ascii="仿宋_GB2312" w:hAnsi="仿宋_GB2312" w:eastAsia="仿宋_GB2312" w:cs="仿宋_GB2312"/>
          <w:kern w:val="2"/>
          <w:sz w:val="32"/>
          <w:szCs w:val="40"/>
          <w:lang w:val="en-US" w:eastAsia="zh-CN" w:bidi="ar-SA"/>
        </w:rPr>
        <w:fldChar w:fldCharType="separate"/>
      </w:r>
      <w:r>
        <w:rPr>
          <w:rFonts w:hint="eastAsia" w:ascii="仿宋_GB2312" w:hAnsi="仿宋_GB2312" w:eastAsia="仿宋_GB2312" w:cs="仿宋_GB2312"/>
          <w:kern w:val="2"/>
          <w:sz w:val="32"/>
          <w:szCs w:val="40"/>
          <w:lang w:val="en-US" w:eastAsia="zh-CN" w:bidi="ar-SA"/>
        </w:rPr>
        <w:t>13</w:t>
      </w:r>
      <w:r>
        <w:rPr>
          <w:rFonts w:hint="eastAsia" w:ascii="仿宋_GB2312" w:hAnsi="仿宋_GB2312" w:eastAsia="仿宋_GB2312" w:cs="仿宋_GB2312"/>
          <w:kern w:val="2"/>
          <w:sz w:val="32"/>
          <w:szCs w:val="40"/>
          <w:lang w:val="en-US" w:eastAsia="zh-CN" w:bidi="ar-SA"/>
        </w:rPr>
        <w:fldChar w:fldCharType="end"/>
      </w:r>
      <w:r>
        <w:rPr>
          <w:rFonts w:hint="eastAsia" w:ascii="仿宋_GB2312" w:hAnsi="仿宋_GB2312" w:eastAsia="仿宋_GB2312" w:cs="仿宋_GB2312"/>
          <w:kern w:val="2"/>
          <w:sz w:val="32"/>
          <w:szCs w:val="40"/>
          <w:lang w:val="en-US" w:eastAsia="zh-CN" w:bidi="ar-SA"/>
        </w:rPr>
        <w:fldChar w:fldCharType="end"/>
      </w:r>
    </w:p>
    <w:p w14:paraId="2901E4BD">
      <w:pPr>
        <w:pStyle w:val="13"/>
        <w:tabs>
          <w:tab w:val="right" w:leader="dot" w:pos="8844"/>
        </w:tabs>
        <w:ind w:left="0" w:leftChars="0" w:firstLine="0" w:firstLineChars="0"/>
      </w:pPr>
      <w:r>
        <w:rPr>
          <w:rFonts w:hint="eastAsia" w:ascii="仿宋_GB2312" w:hAnsi="仿宋_GB2312" w:eastAsia="仿宋_GB2312" w:cs="仿宋_GB2312"/>
          <w:kern w:val="2"/>
          <w:sz w:val="32"/>
          <w:szCs w:val="40"/>
          <w:lang w:val="en-US" w:eastAsia="zh-CN" w:bidi="ar-SA"/>
        </w:rPr>
        <w:fldChar w:fldCharType="begin"/>
      </w:r>
      <w:r>
        <w:rPr>
          <w:rFonts w:hint="eastAsia" w:ascii="仿宋_GB2312" w:hAnsi="仿宋_GB2312" w:eastAsia="仿宋_GB2312" w:cs="仿宋_GB2312"/>
          <w:kern w:val="2"/>
          <w:sz w:val="32"/>
          <w:szCs w:val="40"/>
          <w:lang w:val="en-US" w:eastAsia="zh-CN" w:bidi="ar-SA"/>
        </w:rPr>
        <w:instrText xml:space="preserve"> HYPERLINK \l _Toc5930 </w:instrText>
      </w:r>
      <w:r>
        <w:rPr>
          <w:rFonts w:hint="eastAsia" w:ascii="仿宋_GB2312" w:hAnsi="仿宋_GB2312" w:eastAsia="仿宋_GB2312" w:cs="仿宋_GB2312"/>
          <w:kern w:val="2"/>
          <w:sz w:val="32"/>
          <w:szCs w:val="40"/>
          <w:lang w:val="en-US" w:eastAsia="zh-CN" w:bidi="ar-SA"/>
        </w:rPr>
        <w:fldChar w:fldCharType="separate"/>
      </w:r>
      <w:r>
        <w:rPr>
          <w:rFonts w:hint="eastAsia" w:ascii="仿宋_GB2312" w:hAnsi="仿宋_GB2312" w:eastAsia="仿宋_GB2312" w:cs="仿宋_GB2312"/>
          <w:kern w:val="2"/>
          <w:sz w:val="32"/>
          <w:szCs w:val="40"/>
          <w:lang w:val="en-US" w:eastAsia="zh-CN" w:bidi="ar-SA"/>
        </w:rPr>
        <w:t>（三）专项资金使用绩效存在的问题</w:t>
      </w:r>
      <w:r>
        <w:rPr>
          <w:rFonts w:hint="eastAsia" w:ascii="仿宋_GB2312" w:hAnsi="仿宋_GB2312" w:eastAsia="仿宋_GB2312" w:cs="仿宋_GB2312"/>
          <w:kern w:val="2"/>
          <w:sz w:val="32"/>
          <w:szCs w:val="40"/>
          <w:lang w:val="en-US" w:eastAsia="zh-CN" w:bidi="ar-SA"/>
        </w:rPr>
        <w:tab/>
      </w:r>
      <w:r>
        <w:rPr>
          <w:rFonts w:hint="eastAsia" w:ascii="仿宋_GB2312" w:hAnsi="仿宋_GB2312" w:eastAsia="仿宋_GB2312" w:cs="仿宋_GB2312"/>
          <w:kern w:val="2"/>
          <w:sz w:val="32"/>
          <w:szCs w:val="40"/>
          <w:lang w:val="en-US" w:eastAsia="zh-CN" w:bidi="ar-SA"/>
        </w:rPr>
        <w:fldChar w:fldCharType="begin"/>
      </w:r>
      <w:r>
        <w:rPr>
          <w:rFonts w:hint="eastAsia" w:ascii="仿宋_GB2312" w:hAnsi="仿宋_GB2312" w:eastAsia="仿宋_GB2312" w:cs="仿宋_GB2312"/>
          <w:kern w:val="2"/>
          <w:sz w:val="32"/>
          <w:szCs w:val="40"/>
          <w:lang w:val="en-US" w:eastAsia="zh-CN" w:bidi="ar-SA"/>
        </w:rPr>
        <w:instrText xml:space="preserve"> PAGEREF _Toc5930 \h </w:instrText>
      </w:r>
      <w:r>
        <w:rPr>
          <w:rFonts w:hint="eastAsia" w:ascii="仿宋_GB2312" w:hAnsi="仿宋_GB2312" w:eastAsia="仿宋_GB2312" w:cs="仿宋_GB2312"/>
          <w:kern w:val="2"/>
          <w:sz w:val="32"/>
          <w:szCs w:val="40"/>
          <w:lang w:val="en-US" w:eastAsia="zh-CN" w:bidi="ar-SA"/>
        </w:rPr>
        <w:fldChar w:fldCharType="separate"/>
      </w:r>
      <w:r>
        <w:rPr>
          <w:rFonts w:hint="eastAsia" w:ascii="仿宋_GB2312" w:hAnsi="仿宋_GB2312" w:eastAsia="仿宋_GB2312" w:cs="仿宋_GB2312"/>
          <w:kern w:val="2"/>
          <w:sz w:val="32"/>
          <w:szCs w:val="40"/>
          <w:lang w:val="en-US" w:eastAsia="zh-CN" w:bidi="ar-SA"/>
        </w:rPr>
        <w:t>16</w:t>
      </w:r>
      <w:r>
        <w:rPr>
          <w:rFonts w:hint="eastAsia" w:ascii="仿宋_GB2312" w:hAnsi="仿宋_GB2312" w:eastAsia="仿宋_GB2312" w:cs="仿宋_GB2312"/>
          <w:kern w:val="2"/>
          <w:sz w:val="32"/>
          <w:szCs w:val="40"/>
          <w:lang w:val="en-US" w:eastAsia="zh-CN" w:bidi="ar-SA"/>
        </w:rPr>
        <w:fldChar w:fldCharType="end"/>
      </w:r>
      <w:r>
        <w:rPr>
          <w:rFonts w:hint="eastAsia" w:ascii="仿宋_GB2312" w:hAnsi="仿宋_GB2312" w:eastAsia="仿宋_GB2312" w:cs="仿宋_GB2312"/>
          <w:kern w:val="2"/>
          <w:sz w:val="32"/>
          <w:szCs w:val="40"/>
          <w:lang w:val="en-US" w:eastAsia="zh-CN" w:bidi="ar-SA"/>
        </w:rPr>
        <w:fldChar w:fldCharType="end"/>
      </w:r>
    </w:p>
    <w:p w14:paraId="4421ECDF">
      <w:pPr>
        <w:pStyle w:val="12"/>
        <w:tabs>
          <w:tab w:val="right" w:leader="dot" w:pos="8844"/>
        </w:tabs>
      </w:pPr>
      <w:r>
        <w:fldChar w:fldCharType="begin"/>
      </w:r>
      <w:r>
        <w:instrText xml:space="preserve"> HYPERLINK \l _Toc12656 </w:instrText>
      </w:r>
      <w:r>
        <w:fldChar w:fldCharType="separate"/>
      </w:r>
      <w:r>
        <w:rPr>
          <w:rFonts w:hint="eastAsia" w:ascii="黑体" w:hAnsi="黑体" w:eastAsia="黑体" w:cs="黑体"/>
          <w:bCs/>
          <w:kern w:val="2"/>
          <w:sz w:val="32"/>
          <w:szCs w:val="32"/>
          <w:lang w:val="en-US" w:eastAsia="zh-CN" w:bidi="ar-SA"/>
        </w:rPr>
        <w:t>三、改进意见及打算</w:t>
      </w:r>
      <w:r>
        <w:rPr>
          <w:rFonts w:hint="eastAsia" w:ascii="仿宋_GB2312" w:hAnsi="仿宋_GB2312" w:eastAsia="仿宋_GB2312" w:cs="仿宋_GB2312"/>
          <w:kern w:val="2"/>
          <w:sz w:val="32"/>
          <w:szCs w:val="40"/>
          <w:lang w:val="en-US" w:eastAsia="zh-CN" w:bidi="ar-SA"/>
        </w:rPr>
        <w:tab/>
      </w:r>
      <w:r>
        <w:rPr>
          <w:rFonts w:hint="eastAsia" w:ascii="仿宋_GB2312" w:hAnsi="仿宋_GB2312" w:eastAsia="仿宋_GB2312" w:cs="仿宋_GB2312"/>
          <w:kern w:val="2"/>
          <w:sz w:val="32"/>
          <w:szCs w:val="40"/>
          <w:lang w:val="en-US" w:eastAsia="zh-CN" w:bidi="ar-SA"/>
        </w:rPr>
        <w:fldChar w:fldCharType="begin"/>
      </w:r>
      <w:r>
        <w:rPr>
          <w:rFonts w:hint="eastAsia" w:ascii="仿宋_GB2312" w:hAnsi="仿宋_GB2312" w:eastAsia="仿宋_GB2312" w:cs="仿宋_GB2312"/>
          <w:kern w:val="2"/>
          <w:sz w:val="32"/>
          <w:szCs w:val="40"/>
          <w:lang w:val="en-US" w:eastAsia="zh-CN" w:bidi="ar-SA"/>
        </w:rPr>
        <w:instrText xml:space="preserve"> PAGEREF _Toc12656 \h </w:instrText>
      </w:r>
      <w:r>
        <w:rPr>
          <w:rFonts w:hint="eastAsia" w:ascii="仿宋_GB2312" w:hAnsi="仿宋_GB2312" w:eastAsia="仿宋_GB2312" w:cs="仿宋_GB2312"/>
          <w:kern w:val="2"/>
          <w:sz w:val="32"/>
          <w:szCs w:val="40"/>
          <w:lang w:val="en-US" w:eastAsia="zh-CN" w:bidi="ar-SA"/>
        </w:rPr>
        <w:fldChar w:fldCharType="separate"/>
      </w:r>
      <w:r>
        <w:rPr>
          <w:rFonts w:hint="eastAsia" w:ascii="仿宋_GB2312" w:hAnsi="仿宋_GB2312" w:eastAsia="仿宋_GB2312" w:cs="仿宋_GB2312"/>
          <w:kern w:val="2"/>
          <w:sz w:val="32"/>
          <w:szCs w:val="40"/>
          <w:lang w:val="en-US" w:eastAsia="zh-CN" w:bidi="ar-SA"/>
        </w:rPr>
        <w:t>16</w:t>
      </w:r>
      <w:r>
        <w:rPr>
          <w:rFonts w:hint="eastAsia" w:ascii="仿宋_GB2312" w:hAnsi="仿宋_GB2312" w:eastAsia="仿宋_GB2312" w:cs="仿宋_GB2312"/>
          <w:kern w:val="2"/>
          <w:sz w:val="32"/>
          <w:szCs w:val="40"/>
          <w:lang w:val="en-US" w:eastAsia="zh-CN" w:bidi="ar-SA"/>
        </w:rPr>
        <w:fldChar w:fldCharType="end"/>
      </w:r>
      <w:r>
        <w:fldChar w:fldCharType="end"/>
      </w:r>
    </w:p>
    <w:p w14:paraId="7ED92EF4">
      <w:pPr>
        <w:pStyle w:val="12"/>
        <w:tabs>
          <w:tab w:val="right" w:leader="dot" w:pos="8844"/>
        </w:tabs>
      </w:pPr>
      <w:r>
        <w:fldChar w:fldCharType="begin"/>
      </w:r>
      <w:r>
        <w:instrText xml:space="preserve"> HYPERLINK \l _Toc12656 </w:instrText>
      </w:r>
      <w:r>
        <w:fldChar w:fldCharType="separate"/>
      </w:r>
      <w:r>
        <w:rPr>
          <w:rFonts w:hint="eastAsia" w:ascii="黑体" w:hAnsi="黑体" w:eastAsia="黑体" w:cs="黑体"/>
          <w:bCs/>
          <w:kern w:val="2"/>
          <w:sz w:val="32"/>
          <w:szCs w:val="32"/>
          <w:lang w:val="en-US" w:eastAsia="zh-CN" w:bidi="ar-SA"/>
        </w:rPr>
        <w:t>四、到期拟延续计划</w:t>
      </w:r>
      <w:r>
        <w:rPr>
          <w:rFonts w:hint="eastAsia" w:ascii="仿宋_GB2312" w:hAnsi="仿宋_GB2312" w:eastAsia="仿宋_GB2312" w:cs="仿宋_GB2312"/>
          <w:kern w:val="2"/>
          <w:sz w:val="32"/>
          <w:szCs w:val="40"/>
          <w:lang w:val="en-US" w:eastAsia="zh-CN" w:bidi="ar-SA"/>
        </w:rPr>
        <w:tab/>
      </w:r>
      <w:r>
        <w:rPr>
          <w:rFonts w:hint="eastAsia" w:ascii="仿宋_GB2312" w:hAnsi="仿宋_GB2312" w:eastAsia="仿宋_GB2312" w:cs="仿宋_GB2312"/>
          <w:kern w:val="2"/>
          <w:sz w:val="32"/>
          <w:szCs w:val="40"/>
          <w:lang w:val="en-US" w:eastAsia="zh-CN" w:bidi="ar-SA"/>
        </w:rPr>
        <w:fldChar w:fldCharType="begin"/>
      </w:r>
      <w:r>
        <w:rPr>
          <w:rFonts w:hint="eastAsia" w:ascii="仿宋_GB2312" w:hAnsi="仿宋_GB2312" w:eastAsia="仿宋_GB2312" w:cs="仿宋_GB2312"/>
          <w:kern w:val="2"/>
          <w:sz w:val="32"/>
          <w:szCs w:val="40"/>
          <w:lang w:val="en-US" w:eastAsia="zh-CN" w:bidi="ar-SA"/>
        </w:rPr>
        <w:instrText xml:space="preserve"> PAGEREF _Toc12656 \h </w:instrText>
      </w:r>
      <w:r>
        <w:rPr>
          <w:rFonts w:hint="eastAsia" w:ascii="仿宋_GB2312" w:hAnsi="仿宋_GB2312" w:eastAsia="仿宋_GB2312" w:cs="仿宋_GB2312"/>
          <w:kern w:val="2"/>
          <w:sz w:val="32"/>
          <w:szCs w:val="40"/>
          <w:lang w:val="en-US" w:eastAsia="zh-CN" w:bidi="ar-SA"/>
        </w:rPr>
        <w:fldChar w:fldCharType="separate"/>
      </w:r>
      <w:r>
        <w:rPr>
          <w:rFonts w:hint="eastAsia" w:ascii="仿宋_GB2312" w:hAnsi="仿宋_GB2312" w:eastAsia="仿宋_GB2312" w:cs="仿宋_GB2312"/>
          <w:kern w:val="2"/>
          <w:sz w:val="32"/>
          <w:szCs w:val="40"/>
          <w:lang w:val="en-US" w:eastAsia="zh-CN" w:bidi="ar-SA"/>
        </w:rPr>
        <w:t>17</w:t>
      </w:r>
      <w:r>
        <w:rPr>
          <w:rFonts w:hint="eastAsia" w:ascii="仿宋_GB2312" w:hAnsi="仿宋_GB2312" w:eastAsia="仿宋_GB2312" w:cs="仿宋_GB2312"/>
          <w:kern w:val="2"/>
          <w:sz w:val="32"/>
          <w:szCs w:val="40"/>
          <w:lang w:val="en-US" w:eastAsia="zh-CN" w:bidi="ar-SA"/>
        </w:rPr>
        <w:fldChar w:fldCharType="end"/>
      </w:r>
      <w:r>
        <w:fldChar w:fldCharType="end"/>
      </w:r>
    </w:p>
    <w:p w14:paraId="490B319D">
      <w:pPr>
        <w:pStyle w:val="13"/>
        <w:tabs>
          <w:tab w:val="right" w:leader="dot" w:pos="8844"/>
        </w:tabs>
      </w:pPr>
    </w:p>
    <w:p w14:paraId="10E98F7C">
      <w:r>
        <w:fldChar w:fldCharType="end"/>
      </w:r>
    </w:p>
    <w:p w14:paraId="4AD020B4">
      <w:pPr>
        <w:pStyle w:val="12"/>
        <w:tabs>
          <w:tab w:val="right" w:leader="dot" w:pos="8844"/>
        </w:tabs>
        <w:sectPr>
          <w:footerReference r:id="rId3" w:type="default"/>
          <w:footerReference r:id="rId4" w:type="even"/>
          <w:pgSz w:w="11906" w:h="16838"/>
          <w:pgMar w:top="2211" w:right="1531" w:bottom="1871" w:left="1531" w:header="851" w:footer="992" w:gutter="0"/>
          <w:pgNumType w:fmt="numberInDash" w:start="1"/>
          <w:cols w:space="720" w:num="1"/>
          <w:docGrid w:type="lines" w:linePitch="312" w:charSpace="0"/>
        </w:sectPr>
      </w:pPr>
    </w:p>
    <w:p w14:paraId="042343CA">
      <w:pPr>
        <w:pageBreakBefore w:val="0"/>
        <w:kinsoku/>
        <w:wordWrap/>
        <w:overflowPunct/>
        <w:topLinePunct w:val="0"/>
        <w:bidi w:val="0"/>
        <w:adjustRightInd/>
        <w:snapToGrid/>
        <w:spacing w:afterAutospacing="0" w:line="600" w:lineRule="exact"/>
        <w:ind w:right="0" w:rightChars="0"/>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2023年度东西部协作省级财政援助资金</w:t>
      </w:r>
    </w:p>
    <w:p w14:paraId="13AD9987">
      <w:pPr>
        <w:pageBreakBefore w:val="0"/>
        <w:kinsoku/>
        <w:wordWrap/>
        <w:overflowPunct/>
        <w:topLinePunct w:val="0"/>
        <w:bidi w:val="0"/>
        <w:adjustRightInd/>
        <w:snapToGrid/>
        <w:spacing w:afterAutospacing="0" w:line="600" w:lineRule="exact"/>
        <w:ind w:right="0" w:rightChars="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项目绩效自评报告</w:t>
      </w:r>
    </w:p>
    <w:p w14:paraId="286DCB93">
      <w:pPr>
        <w:keepNext w:val="0"/>
        <w:keepLines w:val="0"/>
        <w:pageBreakBefore w:val="0"/>
        <w:kinsoku/>
        <w:wordWrap/>
        <w:overflowPunct/>
        <w:topLinePunct w:val="0"/>
        <w:autoSpaceDE/>
        <w:autoSpaceDN/>
        <w:bidi w:val="0"/>
        <w:adjustRightInd/>
        <w:snapToGrid/>
        <w:spacing w:afterAutospacing="0" w:line="360" w:lineRule="auto"/>
        <w:ind w:right="0" w:rightChars="0" w:firstLine="640" w:firstLineChars="200"/>
        <w:jc w:val="both"/>
        <w:textAlignment w:val="auto"/>
        <w:outlineLvl w:val="9"/>
        <w:rPr>
          <w:rFonts w:hint="eastAsia" w:ascii="仿宋_GB2312" w:hAnsi="Times New Roman" w:eastAsia="仿宋_GB2312" w:cs="Times New Roman"/>
          <w:sz w:val="32"/>
          <w:szCs w:val="32"/>
        </w:rPr>
      </w:pPr>
    </w:p>
    <w:p w14:paraId="696B669A">
      <w:pPr>
        <w:keepNext w:val="0"/>
        <w:keepLines w:val="0"/>
        <w:pageBreakBefore w:val="0"/>
        <w:kinsoku/>
        <w:wordWrap/>
        <w:overflowPunct/>
        <w:topLinePunct w:val="0"/>
        <w:autoSpaceDE/>
        <w:autoSpaceDN/>
        <w:bidi w:val="0"/>
        <w:adjustRightInd/>
        <w:snapToGrid/>
        <w:spacing w:afterAutospacing="0" w:line="360" w:lineRule="auto"/>
        <w:ind w:right="0" w:rightChars="0" w:firstLine="640" w:firstLineChars="200"/>
        <w:jc w:val="both"/>
        <w:textAlignment w:val="auto"/>
        <w:outlineLvl w:val="9"/>
        <w:rPr>
          <w:rFonts w:ascii="华文仿宋" w:hAnsi="华文仿宋" w:eastAsia="华文仿宋"/>
          <w:sz w:val="32"/>
          <w:szCs w:val="32"/>
        </w:rPr>
      </w:pPr>
      <w:r>
        <w:rPr>
          <w:rFonts w:hint="eastAsia" w:ascii="仿宋_GB2312" w:hAnsi="Times New Roman" w:eastAsia="仿宋_GB2312" w:cs="Times New Roman"/>
          <w:sz w:val="32"/>
          <w:szCs w:val="32"/>
        </w:rPr>
        <w:t>根据</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广东省财政厅关于开展</w:t>
      </w:r>
      <w:r>
        <w:rPr>
          <w:rFonts w:hint="eastAsia" w:ascii="仿宋_GB2312" w:hAnsi="Times New Roman" w:eastAsia="仿宋_GB2312" w:cs="Times New Roman"/>
          <w:sz w:val="32"/>
          <w:szCs w:val="32"/>
          <w:lang w:val="en-US" w:eastAsia="zh-CN"/>
        </w:rPr>
        <w:t>2024</w:t>
      </w:r>
      <w:r>
        <w:rPr>
          <w:rFonts w:hint="eastAsia" w:ascii="仿宋_GB2312" w:hAnsi="Times New Roman" w:eastAsia="仿宋_GB2312" w:cs="Times New Roman"/>
          <w:sz w:val="32"/>
          <w:szCs w:val="32"/>
        </w:rPr>
        <w:t>年省级财政资金绩效自评工作的通知</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我厅</w:t>
      </w:r>
      <w:r>
        <w:rPr>
          <w:rFonts w:hint="eastAsia" w:ascii="仿宋_GB2312" w:hAnsi="Times New Roman" w:eastAsia="仿宋_GB2312" w:cs="Times New Roman"/>
          <w:sz w:val="32"/>
          <w:szCs w:val="32"/>
        </w:rPr>
        <w:t>组织对“</w:t>
      </w:r>
      <w:r>
        <w:rPr>
          <w:rFonts w:hint="eastAsia" w:ascii="仿宋_GB2312" w:hAnsi="Times New Roman" w:eastAsia="仿宋_GB2312" w:cs="Times New Roman"/>
          <w:sz w:val="32"/>
          <w:szCs w:val="32"/>
          <w:lang w:val="en-US" w:eastAsia="zh-CN"/>
        </w:rPr>
        <w:t>2023年东西部协作省级财政援助资金</w:t>
      </w:r>
      <w:r>
        <w:rPr>
          <w:rFonts w:hint="eastAsia" w:ascii="仿宋_GB2312" w:hAnsi="Times New Roman" w:eastAsia="仿宋_GB2312" w:cs="Times New Roman"/>
          <w:sz w:val="32"/>
          <w:szCs w:val="32"/>
        </w:rPr>
        <w:t>”使用情况开展绩效自评。评价基准日</w:t>
      </w:r>
      <w:r>
        <w:rPr>
          <w:rFonts w:hint="eastAsia" w:ascii="仿宋_GB2312" w:hAnsi="Times New Roman" w:eastAsia="仿宋_GB2312" w:cs="Times New Roman"/>
          <w:sz w:val="32"/>
          <w:szCs w:val="32"/>
          <w:lang w:val="en-US" w:eastAsia="zh-CN"/>
        </w:rPr>
        <w:t>为</w:t>
      </w: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rPr>
        <w:t>月31日。</w:t>
      </w:r>
    </w:p>
    <w:p w14:paraId="1B9FD976">
      <w:pPr>
        <w:keepNext w:val="0"/>
        <w:keepLines w:val="0"/>
        <w:pageBreakBefore w:val="0"/>
        <w:kinsoku/>
        <w:wordWrap/>
        <w:overflowPunct/>
        <w:topLinePunct w:val="0"/>
        <w:autoSpaceDE/>
        <w:autoSpaceDN/>
        <w:bidi w:val="0"/>
        <w:adjustRightInd/>
        <w:snapToGrid/>
        <w:spacing w:afterAutospacing="0" w:line="360" w:lineRule="auto"/>
        <w:ind w:right="0" w:rightChars="0" w:firstLine="640" w:firstLineChars="200"/>
        <w:jc w:val="both"/>
        <w:textAlignment w:val="auto"/>
        <w:outlineLvl w:val="0"/>
        <w:rPr>
          <w:rFonts w:ascii="黑体" w:hAnsi="黑体" w:eastAsia="黑体"/>
          <w:sz w:val="32"/>
          <w:szCs w:val="32"/>
        </w:rPr>
      </w:pPr>
      <w:bookmarkStart w:id="1" w:name="_Toc4007"/>
      <w:r>
        <w:rPr>
          <w:rFonts w:hint="eastAsia" w:ascii="黑体" w:hAnsi="黑体" w:eastAsia="黑体"/>
          <w:sz w:val="32"/>
          <w:szCs w:val="32"/>
        </w:rPr>
        <w:t>一、基本情况</w:t>
      </w:r>
      <w:bookmarkEnd w:id="1"/>
    </w:p>
    <w:p w14:paraId="2BA95F33">
      <w:pPr>
        <w:keepNext w:val="0"/>
        <w:keepLines w:val="0"/>
        <w:pageBreakBefore w:val="0"/>
        <w:kinsoku/>
        <w:wordWrap/>
        <w:overflowPunct/>
        <w:topLinePunct w:val="0"/>
        <w:autoSpaceDE/>
        <w:autoSpaceDN/>
        <w:bidi w:val="0"/>
        <w:adjustRightInd/>
        <w:snapToGrid/>
        <w:spacing w:before="0" w:after="0" w:afterAutospacing="0" w:line="360" w:lineRule="auto"/>
        <w:ind w:right="0" w:rightChars="0" w:firstLine="643" w:firstLineChars="200"/>
        <w:jc w:val="both"/>
        <w:textAlignment w:val="auto"/>
        <w:outlineLvl w:val="1"/>
        <w:rPr>
          <w:rFonts w:hint="eastAsia" w:ascii="楷体_GB2312" w:hAnsi="楷体_GB2312" w:eastAsia="楷体_GB2312" w:cs="楷体_GB2312"/>
          <w:b/>
          <w:bCs/>
          <w:sz w:val="32"/>
          <w:szCs w:val="32"/>
        </w:rPr>
      </w:pPr>
      <w:bookmarkStart w:id="2" w:name="_Toc27421"/>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资金安排情况</w:t>
      </w:r>
      <w:bookmarkEnd w:id="2"/>
    </w:p>
    <w:p w14:paraId="05D9E3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643"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val="0"/>
          <w:bCs w:val="0"/>
          <w:sz w:val="32"/>
          <w:szCs w:val="32"/>
          <w:highlight w:val="none"/>
          <w:lang w:val="en-US" w:eastAsia="zh-CN"/>
        </w:rPr>
        <w:t>《广东省财政厅关于安排2023年广东省东西部协作财政援助资金的通知》（粤财农〔2023〕7号）安排粤桂、粤黔东西部协作财政援助资金8.16亿元，其中广西5.1亿元，贵州3.06亿元。</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b w:val="0"/>
          <w:bCs w:val="0"/>
          <w:sz w:val="32"/>
          <w:szCs w:val="32"/>
          <w:highlight w:val="none"/>
          <w:lang w:val="en-US" w:eastAsia="zh-CN"/>
        </w:rPr>
        <w:t>《广东省财政厅关于安排2023年广东省东西部协作工作经费及援派干部人才补助经费的通知》（粤财农〔2023〕8号）安排粤桂、粤黔协作工作队工作经费、补助经费及“组团式”帮扶人才保障经费共3985.77万元，其中粤桂协作工作队工作经费400万元，干部补助费183.768万元，“组团式”人才保障费1280.188万元；粤黔协作工作队工作经费400万元，干部补助费413.478万元，“组团式”人才保障费1308.336万元。</w:t>
      </w:r>
    </w:p>
    <w:p w14:paraId="3AE0AF8E">
      <w:pPr>
        <w:keepNext w:val="0"/>
        <w:keepLines w:val="0"/>
        <w:pageBreakBefore w:val="0"/>
        <w:numPr>
          <w:ilvl w:val="0"/>
          <w:numId w:val="0"/>
        </w:numPr>
        <w:kinsoku/>
        <w:wordWrap/>
        <w:overflowPunct/>
        <w:topLinePunct w:val="0"/>
        <w:autoSpaceDE/>
        <w:autoSpaceDN/>
        <w:bidi w:val="0"/>
        <w:adjustRightInd/>
        <w:snapToGrid/>
        <w:spacing w:before="0" w:after="0" w:afterAutospacing="0" w:line="360" w:lineRule="auto"/>
        <w:ind w:right="0" w:rightChars="0" w:firstLine="643" w:firstLineChars="200"/>
        <w:jc w:val="both"/>
        <w:textAlignment w:val="auto"/>
        <w:outlineLvl w:val="1"/>
        <w:rPr>
          <w:rFonts w:hint="default" w:ascii="楷体_GB2312" w:hAnsi="楷体_GB2312" w:eastAsia="楷体_GB2312" w:cs="楷体_GB2312"/>
          <w:b/>
          <w:bCs/>
          <w:sz w:val="32"/>
          <w:szCs w:val="32"/>
          <w:lang w:val="en-US" w:eastAsia="zh-CN"/>
        </w:rPr>
      </w:pPr>
      <w:bookmarkStart w:id="3" w:name="_Toc4906"/>
      <w:r>
        <w:rPr>
          <w:rFonts w:hint="eastAsia" w:ascii="楷体_GB2312" w:hAnsi="楷体_GB2312" w:eastAsia="楷体_GB2312" w:cs="楷体_GB2312"/>
          <w:b/>
          <w:bCs/>
          <w:sz w:val="32"/>
          <w:szCs w:val="32"/>
          <w:lang w:val="en-US" w:eastAsia="zh-CN"/>
        </w:rPr>
        <w:t>（二）资金分配方式</w:t>
      </w:r>
      <w:bookmarkEnd w:id="3"/>
    </w:p>
    <w:p w14:paraId="0A26341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right="0" w:rightChars="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1.协作资金。</w:t>
      </w:r>
      <w:r>
        <w:rPr>
          <w:rFonts w:hint="eastAsia" w:ascii="仿宋_GB2312" w:hAnsi="仿宋_GB2312" w:eastAsia="仿宋_GB2312" w:cs="仿宋_GB2312"/>
          <w:sz w:val="32"/>
          <w:szCs w:val="32"/>
          <w:lang w:val="en-US" w:eastAsia="zh-CN"/>
        </w:rPr>
        <w:t>省级财政安排81600万元，作为惠州、江门、湛江、茂名、肇庆市帮扶18县中的16县的财政援助资金，每县标准5100万元，其中江门、湛江、茂名、肇庆市帮扶广西10个脱贫县共51000万元；惠州帮扶贵州6个脱贫县共30600万元。资金由省财政厅直接划拨至广西、贵州两省（区）财政厅。资金依据</w:t>
      </w:r>
      <w:r>
        <w:rPr>
          <w:rFonts w:hint="eastAsia" w:ascii="仿宋_GB2312" w:hAnsi="仿宋_GB2312" w:eastAsia="仿宋_GB2312" w:cs="仿宋_GB2312"/>
          <w:color w:val="auto"/>
          <w:sz w:val="32"/>
          <w:szCs w:val="32"/>
          <w:lang w:val="en-US" w:eastAsia="zh-CN"/>
        </w:rPr>
        <w:t>《关于加强东西部协作工作的实施方案》（粤农组〔2021〕6号）、《广东帮扶广西财政协作资金管理办法》（桂乡振发〔2021〕21号）、《粤黔东西部协作资金管理办法》（黔乡振发〔2021〕3号）、2023年《东西部协作协议》等文件管理使用；考虑倾斜支持</w:t>
      </w:r>
      <w:r>
        <w:rPr>
          <w:rFonts w:hint="eastAsia" w:ascii="仿宋_GB2312" w:hAnsi="仿宋_GB2312" w:eastAsia="仿宋_GB2312" w:cs="仿宋_GB2312"/>
          <w:sz w:val="32"/>
          <w:szCs w:val="32"/>
          <w:lang w:val="en-US" w:eastAsia="zh-CN"/>
        </w:rPr>
        <w:t>国家乡村振兴重点帮扶县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兼顾</w:t>
      </w:r>
      <w:r>
        <w:rPr>
          <w:rFonts w:hint="eastAsia" w:ascii="仿宋_GB2312" w:hAnsi="仿宋_GB2312" w:eastAsia="仿宋_GB2312" w:cs="仿宋_GB2312"/>
          <w:sz w:val="32"/>
          <w:szCs w:val="32"/>
          <w:lang w:val="en-US" w:eastAsia="zh-CN"/>
        </w:rPr>
        <w:t>协作各县（市、区）</w:t>
      </w:r>
      <w:r>
        <w:rPr>
          <w:rFonts w:hint="eastAsia" w:ascii="仿宋_GB2312" w:hAnsi="仿宋_GB2312" w:eastAsia="仿宋_GB2312" w:cs="仿宋_GB2312"/>
          <w:sz w:val="32"/>
          <w:szCs w:val="32"/>
        </w:rPr>
        <w:t>平衡，将</w:t>
      </w:r>
      <w:r>
        <w:rPr>
          <w:rFonts w:hint="eastAsia" w:ascii="仿宋_GB2312" w:hAnsi="仿宋_GB2312" w:eastAsia="仿宋_GB2312" w:cs="仿宋_GB2312"/>
          <w:sz w:val="32"/>
          <w:szCs w:val="32"/>
          <w:lang w:val="en-US" w:eastAsia="zh-CN"/>
        </w:rPr>
        <w:t>协作</w:t>
      </w:r>
      <w:r>
        <w:rPr>
          <w:rFonts w:hint="eastAsia" w:ascii="仿宋_GB2312" w:hAnsi="仿宋_GB2312" w:eastAsia="仿宋_GB2312" w:cs="仿宋_GB2312"/>
          <w:sz w:val="32"/>
          <w:szCs w:val="32"/>
        </w:rPr>
        <w:t>资金平均基数的80%下达至</w:t>
      </w:r>
      <w:r>
        <w:rPr>
          <w:rFonts w:hint="eastAsia" w:ascii="仿宋_GB2312" w:hAnsi="仿宋_GB2312" w:eastAsia="仿宋_GB2312" w:cs="仿宋_GB2312"/>
          <w:sz w:val="32"/>
          <w:szCs w:val="32"/>
          <w:lang w:val="en-US" w:eastAsia="zh-CN"/>
        </w:rPr>
        <w:t>协作县（市、区）</w:t>
      </w:r>
      <w:r>
        <w:rPr>
          <w:rFonts w:hint="eastAsia" w:ascii="仿宋_GB2312" w:hAnsi="仿宋_GB2312" w:eastAsia="仿宋_GB2312" w:cs="仿宋_GB2312"/>
          <w:sz w:val="32"/>
          <w:szCs w:val="32"/>
        </w:rPr>
        <w:t>，剩余20%</w:t>
      </w:r>
      <w:r>
        <w:rPr>
          <w:rFonts w:hint="eastAsia" w:ascii="仿宋_GB2312" w:hAnsi="仿宋_GB2312" w:eastAsia="仿宋_GB2312" w:cs="仿宋_GB2312"/>
          <w:sz w:val="32"/>
          <w:szCs w:val="32"/>
          <w:lang w:val="en-US" w:eastAsia="zh-CN"/>
        </w:rPr>
        <w:t>财政援助资金</w:t>
      </w:r>
      <w:r>
        <w:rPr>
          <w:rFonts w:hint="eastAsia" w:ascii="仿宋_GB2312" w:hAnsi="仿宋_GB2312" w:eastAsia="仿宋_GB2312" w:cs="仿宋_GB2312"/>
          <w:sz w:val="32"/>
          <w:szCs w:val="32"/>
        </w:rPr>
        <w:t>采用因素</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分配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按照客观因素指标、政策因素指标和绩效因素指标三类因素分配到</w:t>
      </w:r>
      <w:r>
        <w:rPr>
          <w:rFonts w:hint="eastAsia" w:ascii="仿宋_GB2312" w:hAnsi="仿宋_GB2312" w:eastAsia="仿宋_GB2312" w:cs="仿宋_GB2312"/>
          <w:sz w:val="32"/>
          <w:szCs w:val="32"/>
          <w:lang w:val="en-US" w:eastAsia="zh-CN"/>
        </w:rPr>
        <w:t>县（市、区）</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sz w:val="32"/>
          <w:szCs w:val="32"/>
          <w:lang w:val="en-US" w:eastAsia="zh-CN"/>
        </w:rPr>
        <w:t>县（市、区）</w:t>
      </w:r>
      <w:r>
        <w:rPr>
          <w:rFonts w:hint="eastAsia" w:ascii="仿宋_GB2312" w:hAnsi="仿宋_GB2312" w:eastAsia="仿宋_GB2312" w:cs="仿宋_GB2312"/>
          <w:color w:val="auto"/>
          <w:sz w:val="32"/>
          <w:szCs w:val="32"/>
        </w:rPr>
        <w:t>提出具体的资金使用</w:t>
      </w:r>
      <w:r>
        <w:rPr>
          <w:rFonts w:hint="eastAsia" w:ascii="仿宋_GB2312" w:hAnsi="仿宋_GB2312" w:eastAsia="仿宋_GB2312" w:cs="仿宋_GB2312"/>
          <w:color w:val="auto"/>
          <w:sz w:val="32"/>
          <w:szCs w:val="32"/>
          <w:lang w:val="en-US" w:eastAsia="zh-CN"/>
        </w:rPr>
        <w:t>计划。</w:t>
      </w:r>
      <w:r>
        <w:rPr>
          <w:rFonts w:hint="eastAsia" w:ascii="仿宋_GB2312" w:hAnsi="仿宋_GB2312" w:eastAsia="仿宋_GB2312" w:cs="仿宋_GB2312"/>
          <w:color w:val="auto"/>
          <w:sz w:val="32"/>
          <w:szCs w:val="32"/>
        </w:rPr>
        <w:t>项目预算明确要求金额与整体工作量基本匹配，能反映相关项目的实施标准、质量等要求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各帮扶县</w:t>
      </w:r>
      <w:r>
        <w:rPr>
          <w:rFonts w:hint="eastAsia" w:ascii="仿宋_GB2312" w:hAnsi="仿宋_GB2312" w:eastAsia="仿宋_GB2312" w:cs="仿宋_GB2312"/>
          <w:sz w:val="32"/>
          <w:szCs w:val="32"/>
          <w:lang w:val="en-US" w:eastAsia="zh-CN"/>
        </w:rPr>
        <w:t>东西部协作部门</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广东派驻县工作组</w:t>
      </w:r>
      <w:r>
        <w:rPr>
          <w:rFonts w:hint="eastAsia" w:ascii="仿宋_GB2312" w:hAnsi="仿宋_GB2312" w:eastAsia="仿宋_GB2312" w:cs="仿宋_GB2312"/>
          <w:sz w:val="32"/>
          <w:szCs w:val="32"/>
        </w:rPr>
        <w:t>共同协商，提前谋划好次年协作项目，并做好项目必要性、合理性、精准性和效益性等论证准备工作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逐级上报审批实施。</w:t>
      </w:r>
    </w:p>
    <w:p w14:paraId="631D126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right="0" w:rightChars="0" w:firstLine="643"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val="en-US" w:eastAsia="zh-CN"/>
        </w:rPr>
        <w:t>2.工作队工作经费及补助费。</w:t>
      </w:r>
      <w:r>
        <w:rPr>
          <w:rFonts w:hint="eastAsia" w:ascii="仿宋_GB2312" w:hAnsi="仿宋_GB2312" w:eastAsia="仿宋_GB2312" w:cs="仿宋_GB2312"/>
          <w:b w:val="0"/>
          <w:bCs w:val="0"/>
          <w:sz w:val="32"/>
          <w:szCs w:val="32"/>
          <w:lang w:val="en-US" w:eastAsia="zh-CN"/>
        </w:rPr>
        <w:t>安排</w:t>
      </w:r>
      <w:r>
        <w:rPr>
          <w:rFonts w:hint="eastAsia" w:ascii="仿宋_GB2312" w:hAnsi="仿宋_GB2312" w:eastAsia="仿宋_GB2312" w:cs="仿宋_GB2312"/>
          <w:sz w:val="32"/>
          <w:szCs w:val="32"/>
          <w:lang w:val="en-US" w:eastAsia="zh-CN"/>
        </w:rPr>
        <w:t>粤桂协作工作队工作经费400万元，干部补助费183.768万元；粤黔协作工作队工作经费400万元，干部补助费413.478万元。资金由省农业农村厅代转拨至粤桂、粤黔协作工作队，</w:t>
      </w:r>
      <w:r>
        <w:rPr>
          <w:rFonts w:hint="eastAsia" w:ascii="仿宋_GB2312" w:hAnsi="仿宋_GB2312" w:eastAsia="仿宋_GB2312" w:cs="仿宋_GB2312"/>
          <w:b w:val="0"/>
          <w:bCs/>
          <w:sz w:val="32"/>
          <w:szCs w:val="32"/>
          <w:lang w:val="en-US" w:eastAsia="zh-CN"/>
        </w:rPr>
        <w:t>按照“谁主管，谁审批，谁负责”原则，</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b w:val="0"/>
          <w:bCs/>
          <w:sz w:val="32"/>
          <w:szCs w:val="32"/>
          <w:lang w:val="en-US" w:eastAsia="zh-CN"/>
        </w:rPr>
        <w:t>粤桂、粤黔协作工作队承担主体责任，依据《粤桂协作工作队行政经费支出管理办法》《广东省粤黔协作工作队工作经费管理办法（试行）》等规定，加强经费管理使用，自觉接受协作两地纪检监察、财务、审计等部门检查监督。工作队工作经费及干部补助费统一纳入省农业农村厅预算编制，按照省农业农村厅部门经费预算管理的有关要求，每年按时办理预算编制、经费</w:t>
      </w:r>
      <w:r>
        <w:rPr>
          <w:rFonts w:hint="eastAsia" w:ascii="仿宋_GB2312" w:hAnsi="仿宋_GB2312" w:eastAsia="仿宋_GB2312" w:cs="仿宋_GB2312"/>
          <w:b/>
          <w:bCs w:val="0"/>
          <w:sz w:val="32"/>
          <w:szCs w:val="32"/>
          <w:lang w:val="en-US" w:eastAsia="zh-CN"/>
        </w:rPr>
        <w:t>请领</w:t>
      </w:r>
      <w:r>
        <w:rPr>
          <w:rFonts w:hint="eastAsia" w:ascii="仿宋_GB2312" w:hAnsi="仿宋_GB2312" w:eastAsia="仿宋_GB2312" w:cs="仿宋_GB2312"/>
          <w:b w:val="0"/>
          <w:bCs/>
          <w:sz w:val="32"/>
          <w:szCs w:val="32"/>
          <w:lang w:val="en-US" w:eastAsia="zh-CN"/>
        </w:rPr>
        <w:t>和经费划拨等。</w:t>
      </w:r>
    </w:p>
    <w:p w14:paraId="5A25764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right="0" w:rightChars="0" w:firstLine="643" w:firstLineChars="200"/>
        <w:jc w:val="both"/>
        <w:textAlignment w:val="auto"/>
        <w:outlineLvl w:val="9"/>
        <w:rPr>
          <w:rFonts w:hint="default"/>
          <w:lang w:val="en-US"/>
        </w:rPr>
      </w:pPr>
      <w:r>
        <w:rPr>
          <w:rFonts w:hint="eastAsia" w:ascii="仿宋_GB2312" w:hAnsi="仿宋_GB2312" w:eastAsia="仿宋_GB2312" w:cs="仿宋_GB2312"/>
          <w:b/>
          <w:bCs w:val="0"/>
          <w:sz w:val="32"/>
          <w:szCs w:val="32"/>
          <w:lang w:val="en-US" w:eastAsia="zh-CN"/>
        </w:rPr>
        <w:t>3.“组团式”帮扶人才保障经费。</w:t>
      </w:r>
      <w:r>
        <w:rPr>
          <w:rFonts w:hint="eastAsia" w:ascii="仿宋_GB2312" w:hAnsi="仿宋_GB2312" w:eastAsia="仿宋_GB2312" w:cs="仿宋_GB2312"/>
          <w:b w:val="0"/>
          <w:bCs/>
          <w:sz w:val="32"/>
          <w:szCs w:val="32"/>
          <w:lang w:val="en-US" w:eastAsia="zh-CN"/>
        </w:rPr>
        <w:t>根据中组部等8部委办局《国家乡村振兴重点帮扶县教育人才“组团式”帮扶工作方案》（组通字〔2022〕17号）、中组部等10部委办局《“组团式”帮扶国家乡村振兴重点帮扶县人民医院工作方案》（组通字〔2022〕15号）和省委组织部等8部厅办局《关于做好国家乡村振兴重点帮扶县教育人才“组团式”帮扶工作的通知》（粤组通〔2022〕26号）、省委组织部等10部厅办局转发《“组团式”帮扶国家乡村振兴重点帮扶县人民医院工作方案》（粤组通〔2022〕17号）要求，继续安排粤桂协作工作队“组团式”帮扶人才保障费1280.188万元，其中工作经费364万元，人才补助经费916.188万元；粤黔“组团式”帮扶人才保障经费1308.336万元，其中工作经费372万元，人才补助经费936.336万元。经费实施与管理由粤桂、粤黔协作工作队按照各自行政（办公）经费管理规定执行。</w:t>
      </w:r>
    </w:p>
    <w:p w14:paraId="4F078083">
      <w:pPr>
        <w:keepNext w:val="0"/>
        <w:keepLines w:val="0"/>
        <w:pageBreakBefore w:val="0"/>
        <w:kinsoku/>
        <w:wordWrap/>
        <w:overflowPunct/>
        <w:topLinePunct w:val="0"/>
        <w:autoSpaceDE/>
        <w:autoSpaceDN/>
        <w:bidi w:val="0"/>
        <w:adjustRightInd/>
        <w:snapToGrid/>
        <w:spacing w:before="0" w:after="0" w:afterAutospacing="0" w:line="360" w:lineRule="auto"/>
        <w:ind w:right="0" w:rightChars="0" w:firstLine="643" w:firstLineChars="200"/>
        <w:jc w:val="both"/>
        <w:textAlignment w:val="auto"/>
        <w:outlineLvl w:val="1"/>
        <w:rPr>
          <w:rFonts w:hint="eastAsia" w:ascii="楷体_GB2312" w:hAnsi="楷体_GB2312" w:eastAsia="楷体_GB2312" w:cs="楷体_GB2312"/>
          <w:b/>
          <w:bCs/>
          <w:sz w:val="32"/>
          <w:szCs w:val="32"/>
        </w:rPr>
      </w:pPr>
      <w:bookmarkStart w:id="4" w:name="_Toc1826"/>
      <w:r>
        <w:rPr>
          <w:rFonts w:hint="eastAsia" w:ascii="楷体_GB2312" w:hAnsi="楷体_GB2312" w:eastAsia="楷体_GB2312" w:cs="楷体_GB2312"/>
          <w:b/>
          <w:bCs/>
          <w:sz w:val="32"/>
          <w:szCs w:val="32"/>
        </w:rPr>
        <w:t>（三）资金</w:t>
      </w:r>
      <w:r>
        <w:rPr>
          <w:rFonts w:hint="eastAsia" w:ascii="楷体_GB2312" w:hAnsi="楷体_GB2312" w:eastAsia="楷体_GB2312" w:cs="楷体_GB2312"/>
          <w:b/>
          <w:bCs/>
          <w:sz w:val="32"/>
          <w:szCs w:val="32"/>
          <w:lang w:val="en-US" w:eastAsia="zh-CN"/>
        </w:rPr>
        <w:t>主要</w:t>
      </w:r>
      <w:r>
        <w:rPr>
          <w:rFonts w:hint="eastAsia" w:ascii="楷体_GB2312" w:hAnsi="楷体_GB2312" w:eastAsia="楷体_GB2312" w:cs="楷体_GB2312"/>
          <w:b/>
          <w:bCs/>
          <w:sz w:val="32"/>
          <w:szCs w:val="32"/>
        </w:rPr>
        <w:t>用途</w:t>
      </w:r>
      <w:bookmarkEnd w:id="4"/>
    </w:p>
    <w:p w14:paraId="2BCAE3C0">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right="0" w:rightChars="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1.东西部协作资金。</w:t>
      </w:r>
      <w:r>
        <w:rPr>
          <w:rFonts w:hint="eastAsia" w:ascii="仿宋_GB2312" w:hAnsi="仿宋_GB2312" w:eastAsia="仿宋_GB2312" w:cs="仿宋_GB2312"/>
          <w:sz w:val="32"/>
          <w:szCs w:val="32"/>
          <w:lang w:val="en-US" w:eastAsia="zh-CN"/>
        </w:rPr>
        <w:t>主要用于助力广西、贵州协作地区持续巩固拓展脱贫攻坚成果同乡村振兴有效衔接，在产业、劳务、消费、科技、社会力量等方面开展协作帮扶工作，适当加大对产业投入比重，倾斜支持40个国家乡村振兴重点帮扶县。东西部协作资金由</w:t>
      </w:r>
      <w:r>
        <w:rPr>
          <w:rFonts w:hint="eastAsia" w:ascii="仿宋_GB2312" w:hAnsi="仿宋_GB2312" w:eastAsia="仿宋_GB2312" w:cs="仿宋_GB2312"/>
          <w:sz w:val="32"/>
          <w:szCs w:val="32"/>
        </w:rPr>
        <w:t>被帮扶</w:t>
      </w:r>
      <w:r>
        <w:rPr>
          <w:rFonts w:hint="eastAsia" w:ascii="仿宋_GB2312" w:hAnsi="仿宋_GB2312" w:eastAsia="仿宋_GB2312" w:cs="仿宋_GB2312"/>
          <w:sz w:val="32"/>
          <w:szCs w:val="32"/>
          <w:lang w:val="en-US" w:eastAsia="zh-CN"/>
        </w:rPr>
        <w:t>县（市、区）</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val="en-US" w:eastAsia="zh-CN"/>
        </w:rPr>
        <w:t>承担经费实施主体责任</w:t>
      </w:r>
      <w:r>
        <w:rPr>
          <w:rFonts w:hint="eastAsia" w:ascii="仿宋_GB2312" w:hAnsi="仿宋_GB2312" w:eastAsia="仿宋_GB2312" w:cs="仿宋_GB2312"/>
          <w:sz w:val="32"/>
          <w:szCs w:val="32"/>
        </w:rPr>
        <w:t>，前方工作</w:t>
      </w:r>
      <w:r>
        <w:rPr>
          <w:rFonts w:hint="eastAsia" w:ascii="仿宋_GB2312" w:hAnsi="仿宋_GB2312" w:eastAsia="仿宋_GB2312" w:cs="仿宋_GB2312"/>
          <w:sz w:val="32"/>
          <w:szCs w:val="32"/>
          <w:lang w:val="en-US" w:eastAsia="zh-CN"/>
        </w:rPr>
        <w:t>队（组、小组）履行监督</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val="en-US" w:eastAsia="zh-CN"/>
        </w:rPr>
        <w:t>责任。</w:t>
      </w:r>
    </w:p>
    <w:p w14:paraId="24FF7A92">
      <w:pPr>
        <w:keepNext w:val="0"/>
        <w:keepLines w:val="0"/>
        <w:pageBreakBefore w:val="0"/>
        <w:kinsoku/>
        <w:wordWrap/>
        <w:overflowPunct/>
        <w:topLinePunct w:val="0"/>
        <w:autoSpaceDE/>
        <w:autoSpaceDN/>
        <w:bidi w:val="0"/>
        <w:adjustRightInd/>
        <w:snapToGrid/>
        <w:spacing w:afterAutospacing="0" w:line="360" w:lineRule="auto"/>
        <w:ind w:right="0" w:rightChars="0" w:firstLine="643"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val="en-US" w:eastAsia="zh-CN"/>
        </w:rPr>
        <w:t>2.工作经费及人员补助费。</w:t>
      </w:r>
      <w:r>
        <w:rPr>
          <w:rFonts w:hint="eastAsia" w:ascii="仿宋_GB2312" w:hAnsi="仿宋_GB2312" w:eastAsia="仿宋_GB2312" w:cs="仿宋_GB2312"/>
          <w:b w:val="0"/>
          <w:bCs/>
          <w:sz w:val="32"/>
          <w:szCs w:val="32"/>
          <w:lang w:val="en-US" w:eastAsia="zh-CN"/>
        </w:rPr>
        <w:t>主要用于粤桂、粤黔协作工作队开展协作工作办公及干部生活补助等支出。包括业务差旅、会议、培训、办公耗材、宣传推广、委托业务、公务租车、房屋租赁、人员聘用、水电、杂支和体检、购买保险</w:t>
      </w:r>
      <w:r>
        <w:rPr>
          <w:rFonts w:hint="default"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val="en-US" w:eastAsia="zh-CN"/>
        </w:rPr>
        <w:t>生活补助等。</w:t>
      </w:r>
      <w:bookmarkStart w:id="5" w:name="_Toc42021430"/>
    </w:p>
    <w:p w14:paraId="43866C02">
      <w:pPr>
        <w:keepNext w:val="0"/>
        <w:keepLines w:val="0"/>
        <w:pageBreakBefore w:val="0"/>
        <w:kinsoku/>
        <w:wordWrap/>
        <w:overflowPunct/>
        <w:topLinePunct w:val="0"/>
        <w:autoSpaceDE/>
        <w:autoSpaceDN/>
        <w:bidi w:val="0"/>
        <w:adjustRightInd/>
        <w:snapToGrid/>
        <w:spacing w:afterAutospacing="0" w:line="360" w:lineRule="auto"/>
        <w:ind w:right="0" w:rightChars="0" w:firstLine="643" w:firstLineChars="200"/>
        <w:jc w:val="both"/>
        <w:textAlignment w:val="auto"/>
        <w:outlineLvl w:val="9"/>
        <w:rPr>
          <w:rFonts w:hint="default"/>
          <w:lang w:val="en-US" w:eastAsia="zh-CN"/>
        </w:rPr>
      </w:pPr>
      <w:r>
        <w:rPr>
          <w:rFonts w:hint="eastAsia" w:ascii="仿宋_GB2312" w:hAnsi="仿宋_GB2312" w:eastAsia="仿宋_GB2312" w:cs="仿宋_GB2312"/>
          <w:b/>
          <w:bCs w:val="0"/>
          <w:sz w:val="32"/>
          <w:szCs w:val="32"/>
          <w:lang w:val="en-US" w:eastAsia="zh-CN"/>
        </w:rPr>
        <w:t>3.“组团式”帮扶人才保障经费。</w:t>
      </w:r>
      <w:r>
        <w:rPr>
          <w:rFonts w:hint="eastAsia" w:ascii="仿宋_GB2312" w:hAnsi="仿宋_GB2312" w:eastAsia="仿宋_GB2312" w:cs="仿宋_GB2312"/>
          <w:b w:val="0"/>
          <w:bCs/>
          <w:sz w:val="32"/>
          <w:szCs w:val="32"/>
          <w:lang w:val="en-US" w:eastAsia="zh-CN"/>
        </w:rPr>
        <w:t>主要用于“组团式”帮扶国家乡村振兴重点县的人才办公、业务差旅等支出，按照省派粤桂、粤黔协作工作队待遇标准，保障其必要的生活福利待遇。</w:t>
      </w:r>
    </w:p>
    <w:p w14:paraId="21611F0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0" w:righ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6" w:name="_Toc21644"/>
      <w:r>
        <w:rPr>
          <w:rFonts w:hint="eastAsia" w:ascii="楷体_GB2312" w:hAnsi="楷体_GB2312" w:eastAsia="楷体_GB2312" w:cs="楷体_GB2312"/>
          <w:b/>
          <w:bCs/>
          <w:sz w:val="32"/>
          <w:szCs w:val="32"/>
          <w:lang w:val="en-US" w:eastAsia="zh-CN"/>
        </w:rPr>
        <w:t>（四）扶持对象</w:t>
      </w:r>
      <w:bookmarkEnd w:id="6"/>
    </w:p>
    <w:p w14:paraId="1A74D0B3">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default" w:ascii="仿宋_GB2312" w:hAnsi="仿宋_GB2312" w:eastAsia="仿宋_GB2312" w:cs="仿宋_GB2312"/>
          <w:b w:val="0"/>
          <w:bCs/>
          <w:sz w:val="32"/>
          <w:szCs w:val="32"/>
          <w:lang w:val="en-US" w:eastAsia="zh-CN"/>
        </w:rPr>
      </w:pPr>
      <w:bookmarkStart w:id="7" w:name="_Toc1168"/>
      <w:bookmarkStart w:id="8" w:name="_Toc6468"/>
      <w:r>
        <w:rPr>
          <w:rFonts w:hint="eastAsia" w:ascii="仿宋_GB2312" w:hAnsi="仿宋_GB2312" w:eastAsia="仿宋_GB2312" w:cs="仿宋_GB2312"/>
          <w:b/>
          <w:bCs/>
          <w:kern w:val="2"/>
          <w:sz w:val="32"/>
          <w:szCs w:val="32"/>
          <w:lang w:val="en-US" w:eastAsia="zh-CN" w:bidi="ar-SA"/>
        </w:rPr>
        <w:t>1.东西部协作资金。</w:t>
      </w:r>
      <w:bookmarkEnd w:id="7"/>
      <w:bookmarkEnd w:id="8"/>
      <w:r>
        <w:rPr>
          <w:rFonts w:hint="eastAsia" w:ascii="仿宋_GB2312" w:hAnsi="仿宋_GB2312" w:eastAsia="仿宋_GB2312" w:cs="仿宋_GB2312"/>
          <w:b w:val="0"/>
          <w:bCs w:val="0"/>
          <w:kern w:val="2"/>
          <w:sz w:val="32"/>
          <w:szCs w:val="32"/>
          <w:lang w:val="en-US" w:eastAsia="zh-CN" w:bidi="ar-SA"/>
        </w:rPr>
        <w:t>省级财政援助资金支持广西51000万元，主要用于江门、湛江、茂名、肇庆帮扶广西的天等、龙州、宁明、大新等4个</w:t>
      </w:r>
      <w:r>
        <w:rPr>
          <w:rFonts w:hint="eastAsia" w:ascii="仿宋_GB2312" w:hAnsi="仿宋_GB2312" w:eastAsia="仿宋_GB2312" w:cs="仿宋_GB2312"/>
          <w:b w:val="0"/>
          <w:kern w:val="2"/>
          <w:sz w:val="32"/>
          <w:szCs w:val="32"/>
          <w:lang w:val="en-US" w:eastAsia="zh-CN"/>
        </w:rPr>
        <w:t>脱贫</w:t>
      </w:r>
      <w:r>
        <w:rPr>
          <w:rFonts w:hint="eastAsia" w:ascii="仿宋_GB2312" w:hAnsi="仿宋_GB2312" w:eastAsia="仿宋_GB2312" w:cs="仿宋_GB2312"/>
          <w:b w:val="0"/>
          <w:bCs w:val="0"/>
          <w:kern w:val="2"/>
          <w:sz w:val="32"/>
          <w:szCs w:val="32"/>
          <w:lang w:val="en-US" w:eastAsia="zh-CN" w:bidi="ar-SA"/>
        </w:rPr>
        <w:t>县中的3县和富川、昭平、融水、融安、三江、忻城、金秀等共10个</w:t>
      </w:r>
      <w:r>
        <w:rPr>
          <w:rFonts w:hint="eastAsia" w:ascii="仿宋_GB2312" w:hAnsi="仿宋_GB2312" w:eastAsia="仿宋_GB2312" w:cs="仿宋_GB2312"/>
          <w:b w:val="0"/>
          <w:kern w:val="2"/>
          <w:sz w:val="32"/>
          <w:szCs w:val="32"/>
          <w:lang w:val="en-US" w:eastAsia="zh-CN"/>
        </w:rPr>
        <w:t>脱贫</w:t>
      </w:r>
      <w:r>
        <w:rPr>
          <w:rFonts w:hint="eastAsia" w:ascii="仿宋_GB2312" w:hAnsi="仿宋_GB2312" w:eastAsia="仿宋_GB2312" w:cs="仿宋_GB2312"/>
          <w:b w:val="0"/>
          <w:bCs w:val="0"/>
          <w:kern w:val="2"/>
          <w:sz w:val="32"/>
          <w:szCs w:val="32"/>
          <w:lang w:val="en-US" w:eastAsia="zh-CN" w:bidi="ar-SA"/>
        </w:rPr>
        <w:t>县巩固拓展脱贫攻坚成果同乡村振兴有效衔接；省级财政支持贵州30600万元，主要作为惠州帮扶贵州黔西南州的安龙、望谟、兴仁、贞丰、册亨、晴隆、普安等7个</w:t>
      </w:r>
      <w:r>
        <w:rPr>
          <w:rFonts w:hint="eastAsia" w:ascii="仿宋_GB2312" w:hAnsi="仿宋_GB2312" w:eastAsia="仿宋_GB2312" w:cs="仿宋_GB2312"/>
          <w:b w:val="0"/>
          <w:kern w:val="2"/>
          <w:sz w:val="32"/>
          <w:szCs w:val="32"/>
          <w:lang w:val="en-US" w:eastAsia="zh-CN"/>
        </w:rPr>
        <w:t>脱贫</w:t>
      </w:r>
      <w:r>
        <w:rPr>
          <w:rFonts w:hint="eastAsia" w:ascii="仿宋_GB2312" w:hAnsi="仿宋_GB2312" w:eastAsia="仿宋_GB2312" w:cs="仿宋_GB2312"/>
          <w:b w:val="0"/>
          <w:bCs w:val="0"/>
          <w:kern w:val="2"/>
          <w:sz w:val="32"/>
          <w:szCs w:val="32"/>
          <w:lang w:val="en-US" w:eastAsia="zh-CN" w:bidi="ar-SA"/>
        </w:rPr>
        <w:t>县中的6县巩固拓展脱贫攻坚成果同乡村振兴有效衔接。</w:t>
      </w:r>
    </w:p>
    <w:p w14:paraId="0B6D5664">
      <w:pPr>
        <w:pageBreakBefore w:val="0"/>
        <w:widowControl w:val="0"/>
        <w:numPr>
          <w:ilvl w:val="0"/>
          <w:numId w:val="0"/>
        </w:numPr>
        <w:kinsoku/>
        <w:wordWrap/>
        <w:overflowPunct/>
        <w:topLinePunct w:val="0"/>
        <w:autoSpaceDE/>
        <w:autoSpaceDN/>
        <w:bidi w:val="0"/>
        <w:adjustRightInd/>
        <w:snapToGrid/>
        <w:spacing w:afterAutospacing="0" w:line="360" w:lineRule="auto"/>
        <w:ind w:right="0" w:rightChars="0" w:firstLine="643"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val="en-US" w:eastAsia="zh-CN"/>
        </w:rPr>
        <w:t>2.工作经费及人员补助费。</w:t>
      </w:r>
      <w:r>
        <w:rPr>
          <w:rFonts w:hint="eastAsia" w:ascii="仿宋_GB2312" w:hAnsi="仿宋_GB2312" w:eastAsia="仿宋_GB2312" w:cs="仿宋_GB2312"/>
          <w:b w:val="0"/>
          <w:bCs w:val="0"/>
          <w:sz w:val="32"/>
          <w:szCs w:val="32"/>
          <w:lang w:val="en-US" w:eastAsia="zh-CN"/>
        </w:rPr>
        <w:t>安排粤桂</w:t>
      </w:r>
      <w:r>
        <w:rPr>
          <w:rFonts w:hint="eastAsia" w:ascii="仿宋_GB2312" w:hAnsi="仿宋_GB2312" w:eastAsia="仿宋_GB2312" w:cs="仿宋_GB2312"/>
          <w:sz w:val="32"/>
          <w:szCs w:val="32"/>
          <w:lang w:val="en-US" w:eastAsia="zh-CN"/>
        </w:rPr>
        <w:t>、粤黔协作工作队各400万元，共800万元工作经费，支持工作队开展协作工作所需。安排粤桂协作工作队干部补助经费183.768万元，粤黔协作工作队干部补助费413.478万元，</w:t>
      </w:r>
      <w:bookmarkStart w:id="9" w:name="_Toc19180"/>
      <w:r>
        <w:rPr>
          <w:rFonts w:hint="eastAsia" w:ascii="仿宋_GB2312" w:hAnsi="仿宋_GB2312" w:eastAsia="仿宋_GB2312" w:cs="仿宋_GB2312"/>
          <w:sz w:val="32"/>
          <w:szCs w:val="32"/>
          <w:lang w:val="en-US" w:eastAsia="zh-CN"/>
        </w:rPr>
        <w:t>东西部协作干部</w:t>
      </w:r>
      <w:r>
        <w:rPr>
          <w:rFonts w:hint="eastAsia" w:ascii="仿宋_GB2312" w:hAnsi="仿宋_GB2312" w:eastAsia="仿宋_GB2312" w:cs="仿宋_GB2312"/>
          <w:b w:val="0"/>
          <w:bCs/>
          <w:sz w:val="32"/>
          <w:szCs w:val="32"/>
          <w:lang w:val="en-US" w:eastAsia="zh-CN"/>
        </w:rPr>
        <w:t>必要的生活待遇。</w:t>
      </w:r>
    </w:p>
    <w:p w14:paraId="7DB35AA0">
      <w:pPr>
        <w:pageBreakBefore w:val="0"/>
        <w:widowControl w:val="0"/>
        <w:numPr>
          <w:ilvl w:val="0"/>
          <w:numId w:val="0"/>
        </w:numPr>
        <w:kinsoku/>
        <w:wordWrap/>
        <w:overflowPunct/>
        <w:topLinePunct w:val="0"/>
        <w:autoSpaceDE/>
        <w:autoSpaceDN/>
        <w:bidi w:val="0"/>
        <w:adjustRightInd/>
        <w:snapToGrid/>
        <w:spacing w:afterAutospacing="0" w:line="360" w:lineRule="auto"/>
        <w:ind w:right="0" w:rightChars="0" w:firstLine="643" w:firstLineChars="200"/>
        <w:jc w:val="both"/>
        <w:textAlignment w:val="auto"/>
        <w:outlineLvl w:val="9"/>
        <w:rPr>
          <w:rFonts w:hint="eastAsia" w:ascii="楷体_GB2312" w:hAnsi="楷体_GB2312" w:eastAsia="楷体_GB2312" w:cs="楷体_GB2312"/>
          <w:b/>
          <w:bCs w:val="0"/>
          <w:sz w:val="32"/>
          <w:szCs w:val="32"/>
          <w:lang w:val="en-US" w:eastAsia="zh-CN"/>
        </w:rPr>
      </w:pPr>
      <w:r>
        <w:rPr>
          <w:rFonts w:hint="eastAsia" w:ascii="仿宋_GB2312" w:hAnsi="仿宋_GB2312" w:eastAsia="仿宋_GB2312" w:cs="仿宋_GB2312"/>
          <w:b/>
          <w:bCs w:val="0"/>
          <w:sz w:val="32"/>
          <w:szCs w:val="32"/>
          <w:lang w:val="en-US" w:eastAsia="zh-CN"/>
        </w:rPr>
        <w:t>3.“组团式”人才保障经费。</w:t>
      </w:r>
      <w:r>
        <w:rPr>
          <w:rFonts w:hint="eastAsia" w:ascii="仿宋_GB2312" w:hAnsi="仿宋_GB2312" w:eastAsia="仿宋_GB2312" w:cs="仿宋_GB2312"/>
          <w:b w:val="0"/>
          <w:bCs/>
          <w:sz w:val="32"/>
          <w:szCs w:val="32"/>
          <w:lang w:val="en-US" w:eastAsia="zh-CN"/>
        </w:rPr>
        <w:t>安排粤桂、粤黔协作工作队“组团式”帮扶国家乡村振兴重点帮扶县人才保障经费</w:t>
      </w:r>
      <w:r>
        <w:rPr>
          <w:rFonts w:hint="eastAsia" w:ascii="仿宋_GB2312" w:hAnsi="仿宋_GB2312" w:eastAsia="仿宋_GB2312" w:cs="仿宋_GB2312"/>
          <w:b w:val="0"/>
          <w:bCs w:val="0"/>
          <w:sz w:val="32"/>
          <w:szCs w:val="32"/>
          <w:highlight w:val="none"/>
          <w:lang w:val="en-US" w:eastAsia="zh-CN"/>
        </w:rPr>
        <w:t>2588.524万元，用于保障派驻教育、医疗人才必要的生活待遇。</w:t>
      </w:r>
    </w:p>
    <w:p w14:paraId="7922DF77">
      <w:pPr>
        <w:pageBreakBefore w:val="0"/>
        <w:widowControl w:val="0"/>
        <w:numPr>
          <w:ilvl w:val="0"/>
          <w:numId w:val="0"/>
        </w:numPr>
        <w:kinsoku/>
        <w:wordWrap/>
        <w:overflowPunct/>
        <w:topLinePunct w:val="0"/>
        <w:autoSpaceDE/>
        <w:autoSpaceDN/>
        <w:bidi w:val="0"/>
        <w:adjustRightInd/>
        <w:snapToGrid/>
        <w:spacing w:afterAutospacing="0" w:line="360" w:lineRule="auto"/>
        <w:ind w:right="0" w:rightChars="0" w:firstLine="643" w:firstLineChars="200"/>
        <w:jc w:val="both"/>
        <w:textAlignment w:val="auto"/>
        <w:outlineLvl w:val="9"/>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（五）绩效目标</w:t>
      </w:r>
      <w:bookmarkEnd w:id="9"/>
    </w:p>
    <w:p w14:paraId="0E8D4039">
      <w:pPr>
        <w:pageBreakBefore w:val="0"/>
        <w:widowControl w:val="0"/>
        <w:kinsoku/>
        <w:wordWrap/>
        <w:overflowPunct/>
        <w:topLinePunct w:val="0"/>
        <w:autoSpaceDE/>
        <w:autoSpaceDN/>
        <w:bidi w:val="0"/>
        <w:adjustRightInd/>
        <w:snapToGrid/>
        <w:spacing w:afterAutospacing="0" w:line="360" w:lineRule="auto"/>
        <w:ind w:right="0" w:rightChars="0" w:firstLine="643"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总体目标：</w:t>
      </w:r>
      <w:r>
        <w:rPr>
          <w:rFonts w:hint="eastAsia" w:ascii="仿宋_GB2312" w:hAnsi="仿宋_GB2312" w:eastAsia="仿宋_GB2312" w:cs="仿宋_GB2312"/>
          <w:b w:val="0"/>
          <w:bCs/>
          <w:sz w:val="32"/>
          <w:szCs w:val="32"/>
          <w:lang w:val="en-US" w:eastAsia="zh-CN"/>
        </w:rPr>
        <w:t>深入学习贯彻党的二十大和习近平总书记关于深化东西部协作重要指示精神，落实党中央、国务院新阶段东西部协作决策部署，持续助力协作帮扶地区巩固拓展脱贫攻坚成果同乡村振兴有效衔接，推动区域协调发展、协同发展、共同发展，确保我省东西部协作工作继续走在全国前列；保障粤桂、粤黔协作工作队开展协作工作，推动粤桂、粤黔协作工作进程，完成协作各项协议指标任务，确保在国家组织的东西部协作考核评价中获得“好</w:t>
      </w:r>
      <w:r>
        <w:rPr>
          <w:rFonts w:hint="default"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val="en-US" w:eastAsia="zh-CN"/>
        </w:rPr>
        <w:t>的等次；保障省派东西部协作干部人才必要的生活待遇，确保人员思想稳定，扎实努力工作。</w:t>
      </w:r>
    </w:p>
    <w:p w14:paraId="1994F79F">
      <w:pPr>
        <w:pageBreakBefore w:val="0"/>
        <w:widowControl w:val="0"/>
        <w:kinsoku/>
        <w:wordWrap/>
        <w:overflowPunct/>
        <w:topLinePunct w:val="0"/>
        <w:autoSpaceDE/>
        <w:autoSpaceDN/>
        <w:bidi w:val="0"/>
        <w:adjustRightInd/>
        <w:snapToGrid/>
        <w:spacing w:afterAutospacing="0" w:line="360" w:lineRule="auto"/>
        <w:ind w:right="0" w:rightChars="0"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具体目标：</w:t>
      </w:r>
      <w:r>
        <w:rPr>
          <w:rFonts w:hint="eastAsia" w:ascii="仿宋_GB2312" w:hAnsi="仿宋_GB2312" w:eastAsia="仿宋_GB2312" w:cs="仿宋_GB2312"/>
          <w:b w:val="0"/>
          <w:bCs/>
          <w:sz w:val="32"/>
          <w:szCs w:val="32"/>
          <w:lang w:val="en-US" w:eastAsia="zh-CN"/>
        </w:rPr>
        <w:t>根据关于印发</w:t>
      </w:r>
      <w:r>
        <w:rPr>
          <w:rFonts w:hint="eastAsia" w:ascii="仿宋_GB2312" w:hAnsi="仿宋_GB2312" w:eastAsia="仿宋_GB2312" w:cs="仿宋_GB2312"/>
          <w:color w:val="auto"/>
          <w:sz w:val="32"/>
          <w:szCs w:val="32"/>
          <w:lang w:val="en-US" w:eastAsia="zh-CN"/>
        </w:rPr>
        <w:t>《广东省2023年东西部协作重点工作清单》的通知（粤委农办函〔2023〕28号）、关于报送《广东省2023年东西部协作工作自评报告》的函（粤农组〔2023〕7号）、关于印发《2023年度巩固拓展脱贫攻坚成果同乡村振兴有效衔接考核评估工作方案》的通知（中农组发〔2023〕33号）、</w:t>
      </w:r>
      <w:r>
        <w:rPr>
          <w:rFonts w:hint="eastAsia" w:ascii="仿宋_GB2312" w:hAnsi="仿宋_GB2312" w:eastAsia="仿宋_GB2312" w:cs="仿宋_GB2312"/>
          <w:b w:val="0"/>
          <w:bCs w:val="0"/>
          <w:sz w:val="32"/>
          <w:szCs w:val="32"/>
          <w:highlight w:val="none"/>
          <w:lang w:val="en-US" w:eastAsia="zh-CN"/>
        </w:rPr>
        <w:t>《广东省财政厅关于安排2023年广东省东西部协作财政援助资金的通知》（粤财农〔2023〕7号）、《广东省财政厅关于安排2023年广东省东西部协作工作经费及援派干部人才补助经费的通知》（粤财农〔2023〕8号）、</w:t>
      </w:r>
      <w:r>
        <w:rPr>
          <w:rFonts w:hint="eastAsia" w:ascii="仿宋_GB2312" w:hAnsi="仿宋_GB2312" w:eastAsia="仿宋_GB2312" w:cs="仿宋_GB2312"/>
          <w:b w:val="0"/>
          <w:bCs/>
          <w:sz w:val="32"/>
          <w:szCs w:val="32"/>
          <w:lang w:val="en-US" w:eastAsia="zh-CN"/>
        </w:rPr>
        <w:t>《关于印发广东帮扶广西财政协作资金管理办法的通知》（桂乡振发〔2021〕21号）、《粤黔东西部协作资金管理办法》（黔乡振发〔2021〕3号）、《粤桂协作工作队行政经费支出管理办法》《广东省粤黔协作工作队工作经费管理办法（试行）》（粤黔协作〔2021〕7号）</w:t>
      </w:r>
      <w:r>
        <w:rPr>
          <w:rFonts w:hint="eastAsia" w:ascii="仿宋_GB2312" w:hAnsi="Times New Roman" w:eastAsia="仿宋_GB2312" w:cs="Times New Roman"/>
          <w:sz w:val="32"/>
          <w:szCs w:val="32"/>
        </w:rPr>
        <w:t>等文件梳理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2023年东西部协作财政援助资金</w:t>
      </w:r>
      <w:r>
        <w:rPr>
          <w:rFonts w:hint="eastAsia" w:ascii="仿宋_GB2312" w:hAnsi="Times New Roman" w:eastAsia="仿宋_GB2312" w:cs="Times New Roman"/>
          <w:sz w:val="32"/>
          <w:szCs w:val="32"/>
        </w:rPr>
        <w:t>”具体目标</w:t>
      </w:r>
      <w:r>
        <w:rPr>
          <w:rFonts w:hint="eastAsia" w:ascii="仿宋_GB2312" w:hAnsi="Times New Roman" w:eastAsia="仿宋_GB2312" w:cs="Times New Roman"/>
          <w:sz w:val="32"/>
          <w:szCs w:val="32"/>
          <w:lang w:eastAsia="zh-CN"/>
        </w:rPr>
        <w:t>，</w:t>
      </w:r>
      <w:r>
        <w:rPr>
          <w:rFonts w:hint="eastAsia" w:ascii="仿宋_GB2312" w:hAnsi="仿宋_GB2312" w:eastAsia="仿宋_GB2312" w:cs="仿宋_GB2312"/>
          <w:sz w:val="32"/>
          <w:szCs w:val="32"/>
        </w:rPr>
        <w:t>涵盖</w:t>
      </w:r>
      <w:r>
        <w:rPr>
          <w:rFonts w:hint="eastAsia" w:ascii="仿宋_GB2312" w:hAnsi="仿宋_GB2312" w:eastAsia="仿宋_GB2312" w:cs="仿宋_GB2312"/>
          <w:sz w:val="32"/>
          <w:szCs w:val="32"/>
          <w:lang w:val="en-US" w:eastAsia="zh-CN"/>
        </w:rPr>
        <w:t>资金的决策、过程、</w:t>
      </w:r>
      <w:r>
        <w:rPr>
          <w:rFonts w:hint="eastAsia" w:ascii="仿宋_GB2312" w:hAnsi="仿宋_GB2312" w:eastAsia="仿宋_GB2312" w:cs="仿宋_GB2312"/>
          <w:sz w:val="32"/>
          <w:szCs w:val="32"/>
        </w:rPr>
        <w:t>产出</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效益</w:t>
      </w:r>
      <w:r>
        <w:rPr>
          <w:rFonts w:hint="eastAsia" w:ascii="仿宋_GB2312" w:hAnsi="仿宋_GB2312" w:eastAsia="仿宋_GB2312" w:cs="仿宋_GB2312"/>
          <w:sz w:val="32"/>
          <w:szCs w:val="32"/>
          <w:lang w:val="en-US" w:eastAsia="zh-CN"/>
        </w:rPr>
        <w:t>四项</w:t>
      </w:r>
      <w:r>
        <w:rPr>
          <w:rFonts w:hint="eastAsia" w:ascii="仿宋_GB2312" w:hAnsi="仿宋_GB2312" w:eastAsia="仿宋_GB2312" w:cs="仿宋_GB2312"/>
          <w:sz w:val="32"/>
          <w:szCs w:val="32"/>
        </w:rPr>
        <w:t xml:space="preserve">指标。  </w:t>
      </w:r>
    </w:p>
    <w:p w14:paraId="578E6E9F">
      <w:pPr>
        <w:pageBreakBefore w:val="0"/>
        <w:widowControl w:val="0"/>
        <w:numPr>
          <w:ilvl w:val="0"/>
          <w:numId w:val="0"/>
        </w:numPr>
        <w:kinsoku/>
        <w:wordWrap/>
        <w:overflowPunct/>
        <w:topLinePunct w:val="0"/>
        <w:autoSpaceDE/>
        <w:autoSpaceDN/>
        <w:bidi w:val="0"/>
        <w:adjustRightInd/>
        <w:snapToGrid/>
        <w:spacing w:afterAutospacing="0" w:line="360" w:lineRule="auto"/>
        <w:ind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1.决策指标。</w:t>
      </w:r>
      <w:r>
        <w:rPr>
          <w:rFonts w:hint="eastAsia" w:ascii="仿宋_GB2312" w:hAnsi="仿宋_GB2312" w:eastAsia="仿宋_GB2312" w:cs="仿宋_GB2312"/>
          <w:b w:val="0"/>
          <w:bCs w:val="0"/>
          <w:sz w:val="32"/>
          <w:szCs w:val="32"/>
        </w:rPr>
        <w:t>从项目立项和资金落实两个方面</w:t>
      </w:r>
      <w:r>
        <w:rPr>
          <w:rFonts w:hint="eastAsia" w:ascii="仿宋_GB2312" w:hAnsi="仿宋_GB2312" w:eastAsia="仿宋_GB2312" w:cs="仿宋_GB2312"/>
          <w:b w:val="0"/>
          <w:bCs w:val="0"/>
          <w:sz w:val="32"/>
          <w:szCs w:val="32"/>
          <w:lang w:val="en-US" w:eastAsia="zh-CN"/>
        </w:rPr>
        <w:t>设置指标分数20分，展现资金投入的论证充分性，目标设置的完整性、合理性、可衡量性，保障制度的完整性、计划安排的合理性，</w:t>
      </w:r>
      <w:r>
        <w:rPr>
          <w:rFonts w:hint="eastAsia" w:ascii="仿宋_GB2312" w:hAnsi="仿宋_GB2312" w:eastAsia="仿宋_GB2312" w:cs="仿宋_GB2312"/>
          <w:sz w:val="32"/>
          <w:szCs w:val="32"/>
        </w:rPr>
        <w:t>以及资金投向的合理性和可行性。</w:t>
      </w:r>
    </w:p>
    <w:p w14:paraId="746FE807">
      <w:pPr>
        <w:pageBreakBefore w:val="0"/>
        <w:widowControl w:val="0"/>
        <w:numPr>
          <w:ilvl w:val="0"/>
          <w:numId w:val="0"/>
        </w:numPr>
        <w:kinsoku/>
        <w:wordWrap/>
        <w:overflowPunct/>
        <w:topLinePunct w:val="0"/>
        <w:autoSpaceDE/>
        <w:autoSpaceDN/>
        <w:bidi w:val="0"/>
        <w:adjustRightInd/>
        <w:snapToGrid/>
        <w:spacing w:afterAutospacing="0" w:line="360" w:lineRule="auto"/>
        <w:ind w:right="0" w:rightChars="0" w:firstLine="643"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2.过程指标。</w:t>
      </w:r>
      <w:r>
        <w:rPr>
          <w:rFonts w:hint="eastAsia" w:ascii="仿宋_GB2312" w:hAnsi="仿宋_GB2312" w:eastAsia="仿宋_GB2312" w:cs="仿宋_GB2312"/>
          <w:b w:val="0"/>
          <w:bCs w:val="0"/>
          <w:sz w:val="32"/>
          <w:szCs w:val="32"/>
          <w:lang w:val="en-US" w:eastAsia="zh-CN"/>
        </w:rPr>
        <w:t>从资金管理和事项管理两个方面设置指标分数20分，展现资金支付的及时性、实施程序的合法性及使用管理的规范性。</w:t>
      </w:r>
    </w:p>
    <w:p w14:paraId="1902E8AA">
      <w:pPr>
        <w:pageBreakBefore w:val="0"/>
        <w:widowControl w:val="0"/>
        <w:numPr>
          <w:ilvl w:val="0"/>
          <w:numId w:val="0"/>
        </w:numPr>
        <w:kinsoku/>
        <w:wordWrap/>
        <w:overflowPunct/>
        <w:topLinePunct w:val="0"/>
        <w:autoSpaceDE/>
        <w:autoSpaceDN/>
        <w:bidi w:val="0"/>
        <w:adjustRightInd/>
        <w:snapToGrid/>
        <w:spacing w:afterAutospacing="0" w:line="360" w:lineRule="auto"/>
        <w:ind w:right="0" w:rightChars="0" w:firstLine="643"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.产出指标。</w:t>
      </w:r>
      <w:r>
        <w:rPr>
          <w:rFonts w:hint="eastAsia" w:ascii="仿宋_GB2312" w:hAnsi="仿宋_GB2312" w:eastAsia="仿宋_GB2312" w:cs="仿宋_GB2312"/>
          <w:b w:val="0"/>
          <w:bCs w:val="0"/>
          <w:sz w:val="32"/>
          <w:szCs w:val="32"/>
          <w:lang w:val="en-US" w:eastAsia="zh-CN"/>
        </w:rPr>
        <w:t>设置指标分数40分，从协作帮扶县数、财政援助资金用于产业比重、东西部协作协议任务完成、考核评价工作等级、资金到位时间、成本投入等设置6项评分指标。</w:t>
      </w:r>
    </w:p>
    <w:p w14:paraId="0F75FB63">
      <w:pPr>
        <w:pageBreakBefore w:val="0"/>
        <w:widowControl w:val="0"/>
        <w:kinsoku/>
        <w:wordWrap/>
        <w:overflowPunct/>
        <w:topLinePunct w:val="0"/>
        <w:autoSpaceDE/>
        <w:autoSpaceDN/>
        <w:bidi w:val="0"/>
        <w:adjustRightInd/>
        <w:snapToGrid/>
        <w:spacing w:afterAutospacing="0" w:line="360" w:lineRule="auto"/>
        <w:ind w:right="0" w:rightChars="0" w:firstLine="643"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.效益指标。</w:t>
      </w:r>
      <w:r>
        <w:rPr>
          <w:rFonts w:hint="eastAsia" w:ascii="仿宋_GB2312" w:hAnsi="仿宋_GB2312" w:eastAsia="仿宋_GB2312" w:cs="仿宋_GB2312"/>
          <w:b w:val="0"/>
          <w:bCs w:val="0"/>
          <w:sz w:val="32"/>
          <w:szCs w:val="32"/>
          <w:lang w:val="en-US" w:eastAsia="zh-CN"/>
        </w:rPr>
        <w:t>设置指标分数20分，其中经济效益指标设置为协作地区脱贫人口年均收入增长率；社会效益指标设置为资金用于产业、劳务、消费等重点帮扶工作效益提升情况；可持续影响指标设置为与协作地区后续协作机制建设情况；满意度指标设置为协作地区脱贫群众对广东帮扶工作的认可度。</w:t>
      </w:r>
    </w:p>
    <w:p w14:paraId="704C4616">
      <w:pPr>
        <w:pStyle w:val="9"/>
        <w:pageBreakBefore w:val="0"/>
        <w:widowControl w:val="0"/>
        <w:kinsoku/>
        <w:wordWrap/>
        <w:overflowPunct/>
        <w:topLinePunct w:val="0"/>
        <w:autoSpaceDE/>
        <w:autoSpaceDN/>
        <w:bidi w:val="0"/>
        <w:adjustRightInd/>
        <w:snapToGrid/>
        <w:spacing w:before="0" w:after="0" w:afterAutospacing="0" w:line="360" w:lineRule="auto"/>
        <w:ind w:right="0" w:rightChars="0" w:firstLine="640" w:firstLineChars="200"/>
        <w:jc w:val="both"/>
        <w:textAlignment w:val="auto"/>
        <w:outlineLvl w:val="0"/>
        <w:rPr>
          <w:rFonts w:ascii="黑体" w:hAnsi="黑体"/>
          <w:bCs/>
        </w:rPr>
      </w:pPr>
      <w:bookmarkStart w:id="10" w:name="_Toc13658"/>
      <w:bookmarkStart w:id="11" w:name="_Toc11551"/>
      <w:r>
        <w:rPr>
          <w:rFonts w:hint="eastAsia" w:ascii="黑体" w:hAnsi="黑体"/>
          <w:bCs/>
        </w:rPr>
        <w:t>二、自评情况</w:t>
      </w:r>
      <w:bookmarkEnd w:id="5"/>
      <w:bookmarkEnd w:id="10"/>
      <w:bookmarkEnd w:id="11"/>
    </w:p>
    <w:p w14:paraId="3F4B743E">
      <w:pPr>
        <w:pageBreakBefore w:val="0"/>
        <w:widowControl w:val="0"/>
        <w:kinsoku/>
        <w:wordWrap/>
        <w:overflowPunct/>
        <w:topLinePunct w:val="0"/>
        <w:autoSpaceDE/>
        <w:autoSpaceDN/>
        <w:bidi w:val="0"/>
        <w:adjustRightInd/>
        <w:snapToGrid/>
        <w:spacing w:afterAutospacing="0" w:line="360" w:lineRule="auto"/>
        <w:ind w:right="0" w:rightChars="0" w:firstLine="643" w:firstLineChars="200"/>
        <w:jc w:val="both"/>
        <w:textAlignment w:val="auto"/>
        <w:outlineLvl w:val="1"/>
        <w:rPr>
          <w:rFonts w:hint="default" w:ascii="楷体_GB2312" w:hAnsi="楷体_GB2312" w:eastAsia="楷体_GB2312" w:cs="楷体_GB2312"/>
          <w:b/>
          <w:bCs/>
          <w:sz w:val="32"/>
          <w:szCs w:val="32"/>
          <w:lang w:val="en-US" w:eastAsia="zh-CN"/>
        </w:rPr>
      </w:pPr>
      <w:bookmarkStart w:id="12" w:name="_Toc42021431"/>
      <w:bookmarkStart w:id="13" w:name="_Toc31439"/>
      <w:r>
        <w:rPr>
          <w:rFonts w:hint="eastAsia" w:ascii="楷体_GB2312" w:hAnsi="楷体_GB2312" w:eastAsia="楷体_GB2312" w:cs="楷体_GB2312"/>
          <w:b/>
          <w:bCs/>
          <w:sz w:val="32"/>
          <w:szCs w:val="32"/>
          <w:lang w:val="en-US" w:eastAsia="zh-CN"/>
        </w:rPr>
        <w:t>（一）自评</w:t>
      </w:r>
      <w:bookmarkEnd w:id="12"/>
      <w:bookmarkEnd w:id="13"/>
      <w:r>
        <w:rPr>
          <w:rFonts w:hint="eastAsia" w:ascii="楷体_GB2312" w:hAnsi="楷体_GB2312" w:eastAsia="楷体_GB2312" w:cs="楷体_GB2312"/>
          <w:b/>
          <w:bCs/>
          <w:sz w:val="32"/>
          <w:szCs w:val="32"/>
          <w:lang w:val="en-US" w:eastAsia="zh-CN"/>
        </w:rPr>
        <w:t>结论</w:t>
      </w:r>
    </w:p>
    <w:p w14:paraId="0ADF827F">
      <w:pPr>
        <w:pageBreakBefore w:val="0"/>
        <w:widowControl w:val="0"/>
        <w:kinsoku/>
        <w:wordWrap/>
        <w:overflowPunct/>
        <w:topLinePunct w:val="0"/>
        <w:autoSpaceDE/>
        <w:autoSpaceDN/>
        <w:bidi w:val="0"/>
        <w:adjustRightInd/>
        <w:snapToGrid/>
        <w:spacing w:afterAutospacing="0" w:line="360" w:lineRule="auto"/>
        <w:ind w:right="0" w:rightChars="0" w:firstLine="640" w:firstLineChars="200"/>
        <w:jc w:val="both"/>
        <w:textAlignment w:val="auto"/>
        <w:outlineLvl w:val="9"/>
        <w:rPr>
          <w:rFonts w:hint="eastAsia" w:ascii="仿宋_GB2312" w:eastAsia="仿宋_GB2312"/>
          <w:b/>
          <w:bCs/>
          <w:sz w:val="32"/>
          <w:szCs w:val="32"/>
          <w:lang w:val="en-US" w:eastAsia="zh-CN"/>
        </w:rPr>
      </w:pPr>
      <w:r>
        <w:rPr>
          <w:rFonts w:hint="eastAsia" w:ascii="仿宋_GB2312" w:eastAsia="仿宋_GB2312"/>
          <w:sz w:val="32"/>
          <w:szCs w:val="32"/>
        </w:rPr>
        <w:t>综合分析</w:t>
      </w:r>
      <w:r>
        <w:rPr>
          <w:rFonts w:hint="eastAsia" w:ascii="仿宋_GB2312" w:eastAsia="仿宋_GB2312"/>
          <w:sz w:val="32"/>
          <w:szCs w:val="32"/>
          <w:lang w:val="en-US" w:eastAsia="zh-CN"/>
        </w:rPr>
        <w:t>省级</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东西部协作财政援助资金</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的决策、</w:t>
      </w:r>
      <w:r>
        <w:rPr>
          <w:rFonts w:hint="eastAsia" w:ascii="仿宋_GB2312" w:eastAsia="仿宋_GB2312"/>
          <w:sz w:val="32"/>
          <w:szCs w:val="32"/>
          <w:lang w:val="en-US" w:eastAsia="zh-CN"/>
        </w:rPr>
        <w:t>过程</w:t>
      </w:r>
      <w:r>
        <w:rPr>
          <w:rFonts w:hint="eastAsia" w:ascii="仿宋_GB2312" w:eastAsia="仿宋_GB2312"/>
          <w:sz w:val="32"/>
          <w:szCs w:val="32"/>
        </w:rPr>
        <w:t>、产出和效益</w:t>
      </w:r>
      <w:r>
        <w:rPr>
          <w:rFonts w:hint="eastAsia" w:ascii="仿宋_GB2312" w:eastAsia="仿宋_GB2312"/>
          <w:sz w:val="32"/>
          <w:szCs w:val="32"/>
          <w:lang w:val="en-US" w:eastAsia="zh-CN"/>
        </w:rPr>
        <w:t>等</w:t>
      </w:r>
      <w:r>
        <w:rPr>
          <w:rFonts w:hint="eastAsia" w:ascii="仿宋_GB2312" w:eastAsia="仿宋_GB2312"/>
          <w:sz w:val="32"/>
          <w:szCs w:val="32"/>
        </w:rPr>
        <w:t>情况，项目基本完成了预期目标任务，取得了</w:t>
      </w:r>
      <w:r>
        <w:rPr>
          <w:rFonts w:hint="eastAsia" w:ascii="仿宋_GB2312" w:eastAsia="仿宋_GB2312"/>
          <w:sz w:val="32"/>
          <w:szCs w:val="32"/>
          <w:lang w:val="en-US" w:eastAsia="zh-CN"/>
        </w:rPr>
        <w:t>较好</w:t>
      </w:r>
      <w:r>
        <w:rPr>
          <w:rFonts w:hint="eastAsia" w:ascii="仿宋_GB2312" w:eastAsia="仿宋_GB2312"/>
          <w:sz w:val="32"/>
          <w:szCs w:val="32"/>
        </w:rPr>
        <w:t>成效。</w:t>
      </w:r>
      <w:r>
        <w:rPr>
          <w:rFonts w:hint="eastAsia" w:ascii="仿宋_GB2312" w:hAnsi="Times New Roman" w:eastAsia="仿宋_GB2312" w:cs="Times New Roman"/>
          <w:sz w:val="32"/>
          <w:szCs w:val="32"/>
        </w:rPr>
        <w:t>依据既定的评价指标体系和评分标准，</w:t>
      </w:r>
      <w:r>
        <w:rPr>
          <w:rFonts w:hint="eastAsia" w:ascii="仿宋_GB2312" w:hAnsi="Times New Roman" w:eastAsia="仿宋_GB2312" w:cs="Times New Roman"/>
          <w:sz w:val="32"/>
          <w:szCs w:val="32"/>
          <w:lang w:val="en-US" w:eastAsia="zh-CN"/>
        </w:rPr>
        <w:t>省级</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东西部协作财政援助资金</w:t>
      </w:r>
      <w:r>
        <w:rPr>
          <w:rFonts w:hint="eastAsia" w:ascii="仿宋_GB2312" w:hAnsi="Times New Roman" w:eastAsia="仿宋_GB2312" w:cs="Times New Roman"/>
          <w:sz w:val="32"/>
          <w:szCs w:val="32"/>
        </w:rPr>
        <w:t>”绩效自评得分为</w:t>
      </w:r>
      <w:r>
        <w:rPr>
          <w:rFonts w:hint="eastAsia" w:ascii="仿宋_GB2312" w:hAnsi="Times New Roman" w:eastAsia="仿宋_GB2312" w:cs="Times New Roman"/>
          <w:b/>
          <w:bCs/>
          <w:sz w:val="32"/>
          <w:szCs w:val="32"/>
          <w:lang w:val="en-US" w:eastAsia="zh-CN"/>
        </w:rPr>
        <w:t>99.50</w:t>
      </w:r>
      <w:r>
        <w:rPr>
          <w:rFonts w:hint="eastAsia" w:ascii="仿宋_GB2312" w:hAnsi="Times New Roman" w:eastAsia="仿宋_GB2312" w:cs="Times New Roman"/>
          <w:sz w:val="32"/>
          <w:szCs w:val="32"/>
        </w:rPr>
        <w:t>分，绩效等级为“</w:t>
      </w:r>
      <w:r>
        <w:rPr>
          <w:rFonts w:hint="eastAsia" w:ascii="仿宋_GB2312" w:hAnsi="Times New Roman" w:eastAsia="仿宋_GB2312" w:cs="Times New Roman"/>
          <w:b/>
          <w:bCs/>
          <w:sz w:val="32"/>
          <w:szCs w:val="32"/>
        </w:rPr>
        <w:t>优</w:t>
      </w:r>
      <w:r>
        <w:rPr>
          <w:rFonts w:hint="eastAsia" w:ascii="仿宋_GB2312" w:hAnsi="Times New Roman" w:eastAsia="仿宋_GB2312" w:cs="Times New Roman"/>
          <w:sz w:val="32"/>
          <w:szCs w:val="32"/>
        </w:rPr>
        <w:t>”（一级指标</w:t>
      </w:r>
      <w:r>
        <w:rPr>
          <w:rFonts w:hint="eastAsia" w:ascii="仿宋_GB2312" w:hAnsi="Times New Roman" w:eastAsia="仿宋_GB2312" w:cs="Times New Roman"/>
          <w:sz w:val="32"/>
          <w:szCs w:val="32"/>
          <w:lang w:eastAsia="zh-CN"/>
        </w:rPr>
        <w:t>自评得分</w:t>
      </w:r>
      <w:r>
        <w:rPr>
          <w:rFonts w:hint="eastAsia" w:ascii="仿宋_GB2312" w:hAnsi="Times New Roman" w:eastAsia="仿宋_GB2312" w:cs="Times New Roman"/>
          <w:sz w:val="32"/>
          <w:szCs w:val="32"/>
        </w:rPr>
        <w:t>情况见表2-1）</w:t>
      </w:r>
    </w:p>
    <w:p w14:paraId="40F1D615">
      <w:pPr>
        <w:pageBreakBefore w:val="0"/>
        <w:kinsoku/>
        <w:wordWrap/>
        <w:overflowPunct/>
        <w:topLinePunct w:val="0"/>
        <w:bidi w:val="0"/>
        <w:adjustRightInd/>
        <w:snapToGrid/>
        <w:spacing w:afterAutospacing="0" w:line="600" w:lineRule="exact"/>
        <w:ind w:right="0" w:rightChars="0" w:firstLine="560" w:firstLineChars="200"/>
        <w:jc w:val="center"/>
        <w:outlineLvl w:val="9"/>
        <w:rPr>
          <w:rFonts w:hint="eastAsia" w:ascii="方正小标宋简体" w:hAnsi="方正小标宋简体" w:eastAsia="方正小标宋简体" w:cs="方正小标宋简体"/>
          <w:sz w:val="28"/>
          <w:szCs w:val="28"/>
        </w:rPr>
      </w:pPr>
      <w:r>
        <w:rPr>
          <w:rFonts w:hint="eastAsia" w:ascii="黑体" w:hAnsi="黑体" w:eastAsia="黑体" w:cs="黑体"/>
          <w:color w:val="auto"/>
          <w:sz w:val="28"/>
          <w:szCs w:val="28"/>
          <w:highlight w:val="none"/>
        </w:rPr>
        <w:t>表</w:t>
      </w:r>
      <w:r>
        <w:rPr>
          <w:rFonts w:hint="eastAsia" w:ascii="黑体" w:hAnsi="黑体" w:eastAsia="黑体" w:cs="黑体"/>
          <w:color w:val="auto"/>
          <w:sz w:val="28"/>
          <w:szCs w:val="28"/>
          <w:highlight w:val="none"/>
          <w:lang w:val="en-US" w:eastAsia="zh-CN"/>
        </w:rPr>
        <w:t>2</w:t>
      </w:r>
      <w:r>
        <w:rPr>
          <w:rFonts w:hint="eastAsia" w:ascii="黑体" w:hAnsi="黑体" w:eastAsia="黑体" w:cs="黑体"/>
          <w:color w:val="auto"/>
          <w:sz w:val="28"/>
          <w:szCs w:val="28"/>
          <w:highlight w:val="none"/>
        </w:rPr>
        <w:t>-1 一级指标</w:t>
      </w:r>
      <w:r>
        <w:rPr>
          <w:rFonts w:hint="eastAsia" w:ascii="黑体" w:hAnsi="黑体" w:eastAsia="黑体" w:cs="黑体"/>
          <w:color w:val="auto"/>
          <w:sz w:val="28"/>
          <w:szCs w:val="28"/>
          <w:highlight w:val="none"/>
          <w:lang w:eastAsia="zh-CN"/>
        </w:rPr>
        <w:t>自评得分</w:t>
      </w:r>
      <w:r>
        <w:rPr>
          <w:rFonts w:hint="eastAsia" w:ascii="黑体" w:hAnsi="黑体" w:eastAsia="黑体" w:cs="黑体"/>
          <w:color w:val="auto"/>
          <w:sz w:val="28"/>
          <w:szCs w:val="28"/>
          <w:highlight w:val="none"/>
        </w:rPr>
        <w:t>情况表</w:t>
      </w:r>
    </w:p>
    <w:tbl>
      <w:tblPr>
        <w:tblStyle w:val="10"/>
        <w:tblW w:w="9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55"/>
        <w:gridCol w:w="1972"/>
        <w:gridCol w:w="1838"/>
        <w:gridCol w:w="2193"/>
      </w:tblGrid>
      <w:tr w14:paraId="096D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055" w:type="dxa"/>
            <w:tcBorders>
              <w:top w:val="single" w:color="000000" w:sz="4" w:space="0"/>
              <w:left w:val="single" w:color="000000" w:sz="4" w:space="0"/>
              <w:bottom w:val="single" w:color="000000" w:sz="4" w:space="0"/>
              <w:right w:val="single" w:color="000000" w:sz="4" w:space="0"/>
            </w:tcBorders>
            <w:noWrap w:val="0"/>
            <w:vAlign w:val="center"/>
          </w:tcPr>
          <w:p w14:paraId="332F3871">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firstLine="482" w:firstLineChars="200"/>
              <w:jc w:val="center"/>
              <w:outlineLvl w:val="9"/>
              <w:rPr>
                <w:rFonts w:hint="eastAsia" w:ascii="黑体" w:hAnsi="黑体" w:eastAsia="黑体" w:cs="黑体"/>
                <w:b/>
                <w:bCs/>
                <w:sz w:val="24"/>
              </w:rPr>
            </w:pPr>
            <w:r>
              <w:rPr>
                <w:rFonts w:hint="eastAsia" w:ascii="黑体" w:hAnsi="黑体" w:eastAsia="黑体" w:cs="黑体"/>
                <w:b/>
                <w:bCs/>
                <w:sz w:val="24"/>
                <w:lang w:val="en-US" w:eastAsia="zh-CN"/>
              </w:rPr>
              <w:t>一级指标（评价因素）</w:t>
            </w:r>
          </w:p>
        </w:tc>
        <w:tc>
          <w:tcPr>
            <w:tcW w:w="1972" w:type="dxa"/>
            <w:tcBorders>
              <w:top w:val="single" w:color="000000" w:sz="4" w:space="0"/>
              <w:left w:val="single" w:color="000000" w:sz="4" w:space="0"/>
              <w:bottom w:val="single" w:color="000000" w:sz="4" w:space="0"/>
              <w:right w:val="single" w:color="000000" w:sz="4" w:space="0"/>
            </w:tcBorders>
            <w:noWrap w:val="0"/>
            <w:vAlign w:val="center"/>
          </w:tcPr>
          <w:p w14:paraId="1FB64900">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黑体" w:hAnsi="黑体" w:eastAsia="黑体" w:cs="黑体"/>
                <w:b/>
                <w:bCs/>
                <w:sz w:val="24"/>
              </w:rPr>
            </w:pPr>
            <w:r>
              <w:rPr>
                <w:rFonts w:hint="eastAsia" w:ascii="黑体" w:hAnsi="黑体" w:eastAsia="黑体" w:cs="黑体"/>
                <w:b/>
                <w:bCs/>
                <w:sz w:val="24"/>
                <w:lang w:val="en-US" w:eastAsia="zh-CN"/>
              </w:rPr>
              <w:t>分值</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16B10B21">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黑体" w:hAnsi="黑体" w:eastAsia="黑体" w:cs="黑体"/>
                <w:b/>
                <w:bCs/>
                <w:sz w:val="24"/>
              </w:rPr>
            </w:pPr>
            <w:r>
              <w:rPr>
                <w:rFonts w:hint="eastAsia" w:ascii="黑体" w:hAnsi="黑体" w:eastAsia="黑体" w:cs="黑体"/>
                <w:b/>
                <w:bCs/>
                <w:sz w:val="24"/>
                <w:lang w:val="en-US" w:eastAsia="zh-CN"/>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14:paraId="27094977">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黑体" w:hAnsi="黑体" w:eastAsia="黑体" w:cs="黑体"/>
                <w:b/>
                <w:bCs/>
                <w:sz w:val="24"/>
              </w:rPr>
            </w:pPr>
            <w:r>
              <w:rPr>
                <w:rFonts w:hint="eastAsia" w:ascii="黑体" w:hAnsi="黑体" w:eastAsia="黑体" w:cs="黑体"/>
                <w:b/>
                <w:bCs/>
                <w:sz w:val="24"/>
                <w:lang w:val="en-US" w:eastAsia="zh-CN"/>
              </w:rPr>
              <w:t>得分率</w:t>
            </w:r>
          </w:p>
        </w:tc>
      </w:tr>
      <w:tr w14:paraId="4629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055" w:type="dxa"/>
            <w:tcBorders>
              <w:top w:val="single" w:color="000000" w:sz="4" w:space="0"/>
              <w:left w:val="single" w:color="000000" w:sz="4" w:space="0"/>
              <w:bottom w:val="single" w:color="000000" w:sz="4" w:space="0"/>
              <w:right w:val="single" w:color="000000" w:sz="4" w:space="0"/>
            </w:tcBorders>
            <w:noWrap w:val="0"/>
            <w:vAlign w:val="center"/>
          </w:tcPr>
          <w:p w14:paraId="5A01C9C1">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firstLine="482" w:firstLineChars="200"/>
              <w:jc w:val="center"/>
              <w:outlineLvl w:val="9"/>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总得分</w:t>
            </w:r>
          </w:p>
        </w:tc>
        <w:tc>
          <w:tcPr>
            <w:tcW w:w="1972" w:type="dxa"/>
            <w:tcBorders>
              <w:top w:val="single" w:color="000000" w:sz="4" w:space="0"/>
              <w:left w:val="single" w:color="000000" w:sz="4" w:space="0"/>
              <w:bottom w:val="single" w:color="000000" w:sz="4" w:space="0"/>
              <w:right w:val="single" w:color="000000" w:sz="4" w:space="0"/>
            </w:tcBorders>
            <w:noWrap w:val="0"/>
            <w:vAlign w:val="center"/>
          </w:tcPr>
          <w:p w14:paraId="692FF5A4">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100</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2BA9E596">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99.5</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14:paraId="473E3EE1">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99.5%</w:t>
            </w:r>
          </w:p>
        </w:tc>
      </w:tr>
      <w:tr w14:paraId="712D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055" w:type="dxa"/>
            <w:tcBorders>
              <w:top w:val="single" w:color="000000" w:sz="4" w:space="0"/>
              <w:left w:val="single" w:color="000000" w:sz="4" w:space="0"/>
              <w:bottom w:val="single" w:color="000000" w:sz="4" w:space="0"/>
              <w:right w:val="single" w:color="000000" w:sz="4" w:space="0"/>
            </w:tcBorders>
            <w:noWrap w:val="0"/>
            <w:vAlign w:val="center"/>
          </w:tcPr>
          <w:p w14:paraId="11A6B8AA">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firstLine="480" w:firstLineChars="200"/>
              <w:jc w:val="center"/>
              <w:outlineLvl w:val="9"/>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决策</w:t>
            </w:r>
          </w:p>
        </w:tc>
        <w:tc>
          <w:tcPr>
            <w:tcW w:w="1972" w:type="dxa"/>
            <w:tcBorders>
              <w:top w:val="single" w:color="000000" w:sz="4" w:space="0"/>
              <w:left w:val="single" w:color="000000" w:sz="4" w:space="0"/>
              <w:bottom w:val="single" w:color="000000" w:sz="4" w:space="0"/>
              <w:right w:val="single" w:color="000000" w:sz="4" w:space="0"/>
            </w:tcBorders>
            <w:noWrap w:val="0"/>
            <w:vAlign w:val="center"/>
          </w:tcPr>
          <w:p w14:paraId="7666FA0C">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20</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14394B8A">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14:paraId="24C14DFC">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100%</w:t>
            </w:r>
          </w:p>
        </w:tc>
      </w:tr>
      <w:tr w14:paraId="5633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055" w:type="dxa"/>
            <w:tcBorders>
              <w:top w:val="single" w:color="000000" w:sz="4" w:space="0"/>
              <w:left w:val="single" w:color="000000" w:sz="4" w:space="0"/>
              <w:bottom w:val="single" w:color="000000" w:sz="4" w:space="0"/>
              <w:right w:val="single" w:color="000000" w:sz="4" w:space="0"/>
            </w:tcBorders>
            <w:noWrap w:val="0"/>
            <w:vAlign w:val="center"/>
          </w:tcPr>
          <w:p w14:paraId="3D8786CE">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firstLine="480" w:firstLineChars="200"/>
              <w:jc w:val="center"/>
              <w:outlineLvl w:val="9"/>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lang w:val="en-US" w:eastAsia="zh-CN"/>
              </w:rPr>
              <w:t>过程</w:t>
            </w:r>
          </w:p>
        </w:tc>
        <w:tc>
          <w:tcPr>
            <w:tcW w:w="1972" w:type="dxa"/>
            <w:tcBorders>
              <w:top w:val="single" w:color="000000" w:sz="4" w:space="0"/>
              <w:left w:val="single" w:color="000000" w:sz="4" w:space="0"/>
              <w:bottom w:val="single" w:color="000000" w:sz="4" w:space="0"/>
              <w:right w:val="single" w:color="000000" w:sz="4" w:space="0"/>
            </w:tcBorders>
            <w:noWrap w:val="0"/>
            <w:vAlign w:val="center"/>
          </w:tcPr>
          <w:p w14:paraId="493B3678">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lang w:val="en-US" w:eastAsia="zh-CN"/>
              </w:rPr>
              <w:t>20</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37C06B50">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lang w:val="en-US" w:eastAsia="zh-CN"/>
              </w:rPr>
              <w:t>20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14:paraId="4F9A1667">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lang w:val="en-US" w:eastAsia="zh-CN"/>
              </w:rPr>
              <w:t>100%</w:t>
            </w:r>
          </w:p>
        </w:tc>
      </w:tr>
      <w:tr w14:paraId="6097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055" w:type="dxa"/>
            <w:tcBorders>
              <w:top w:val="single" w:color="000000" w:sz="4" w:space="0"/>
              <w:left w:val="single" w:color="000000" w:sz="4" w:space="0"/>
              <w:bottom w:val="single" w:color="000000" w:sz="4" w:space="0"/>
              <w:right w:val="single" w:color="000000" w:sz="4" w:space="0"/>
            </w:tcBorders>
            <w:noWrap w:val="0"/>
            <w:vAlign w:val="center"/>
          </w:tcPr>
          <w:p w14:paraId="6DD3374E">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firstLine="480" w:firstLineChars="200"/>
              <w:jc w:val="center"/>
              <w:outlineLvl w:val="9"/>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lang w:val="en-US" w:eastAsia="zh-CN"/>
              </w:rPr>
              <w:t>产出</w:t>
            </w:r>
          </w:p>
        </w:tc>
        <w:tc>
          <w:tcPr>
            <w:tcW w:w="1972" w:type="dxa"/>
            <w:tcBorders>
              <w:top w:val="single" w:color="000000" w:sz="4" w:space="0"/>
              <w:left w:val="single" w:color="000000" w:sz="4" w:space="0"/>
              <w:bottom w:val="single" w:color="000000" w:sz="4" w:space="0"/>
              <w:right w:val="single" w:color="000000" w:sz="4" w:space="0"/>
            </w:tcBorders>
            <w:noWrap w:val="0"/>
            <w:vAlign w:val="center"/>
          </w:tcPr>
          <w:p w14:paraId="433D5E52">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lang w:val="en-US" w:eastAsia="zh-CN"/>
              </w:rPr>
              <w:t>40</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2EB0D09B">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default" w:ascii="仿宋_GB2312" w:hAnsi="仿宋_GB2312" w:eastAsia="仿宋_GB2312" w:cs="仿宋_GB2312"/>
                <w:b w:val="0"/>
                <w:bCs w:val="0"/>
                <w:sz w:val="24"/>
                <w:lang w:val="en-US"/>
              </w:rPr>
            </w:pPr>
            <w:r>
              <w:rPr>
                <w:rFonts w:hint="eastAsia" w:ascii="仿宋_GB2312" w:hAnsi="仿宋_GB2312" w:eastAsia="仿宋_GB2312" w:cs="仿宋_GB2312"/>
                <w:b w:val="0"/>
                <w:bCs w:val="0"/>
                <w:sz w:val="24"/>
                <w:lang w:val="en-US" w:eastAsia="zh-CN"/>
              </w:rPr>
              <w:t>39.5</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14:paraId="5C514DDC">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lang w:val="en-US" w:eastAsia="zh-CN"/>
              </w:rPr>
              <w:t>99.5%</w:t>
            </w:r>
          </w:p>
        </w:tc>
      </w:tr>
      <w:tr w14:paraId="3D21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055" w:type="dxa"/>
            <w:tcBorders>
              <w:top w:val="single" w:color="000000" w:sz="4" w:space="0"/>
              <w:left w:val="single" w:color="000000" w:sz="4" w:space="0"/>
              <w:bottom w:val="single" w:color="000000" w:sz="4" w:space="0"/>
              <w:right w:val="single" w:color="000000" w:sz="4" w:space="0"/>
            </w:tcBorders>
            <w:noWrap w:val="0"/>
            <w:vAlign w:val="center"/>
          </w:tcPr>
          <w:p w14:paraId="69A0C8EB">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firstLine="480" w:firstLineChars="200"/>
              <w:jc w:val="center"/>
              <w:outlineLvl w:val="9"/>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lang w:val="en-US" w:eastAsia="zh-CN"/>
              </w:rPr>
              <w:t>效益</w:t>
            </w:r>
          </w:p>
        </w:tc>
        <w:tc>
          <w:tcPr>
            <w:tcW w:w="1972" w:type="dxa"/>
            <w:tcBorders>
              <w:top w:val="single" w:color="000000" w:sz="4" w:space="0"/>
              <w:left w:val="single" w:color="000000" w:sz="4" w:space="0"/>
              <w:bottom w:val="single" w:color="000000" w:sz="4" w:space="0"/>
              <w:right w:val="single" w:color="000000" w:sz="4" w:space="0"/>
            </w:tcBorders>
            <w:noWrap w:val="0"/>
            <w:vAlign w:val="center"/>
          </w:tcPr>
          <w:p w14:paraId="71871ECC">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default" w:ascii="仿宋_GB2312" w:hAnsi="仿宋_GB2312" w:eastAsia="仿宋_GB2312" w:cs="仿宋_GB2312"/>
                <w:b w:val="0"/>
                <w:bCs w:val="0"/>
                <w:sz w:val="24"/>
                <w:lang w:val="en-US"/>
              </w:rPr>
            </w:pPr>
            <w:r>
              <w:rPr>
                <w:rFonts w:hint="eastAsia" w:ascii="仿宋_GB2312" w:hAnsi="仿宋_GB2312" w:eastAsia="仿宋_GB2312" w:cs="仿宋_GB2312"/>
                <w:b w:val="0"/>
                <w:bCs w:val="0"/>
                <w:sz w:val="24"/>
                <w:lang w:val="en-US" w:eastAsia="zh-CN"/>
              </w:rPr>
              <w:t>20</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4482272A">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default" w:ascii="仿宋_GB2312" w:hAnsi="仿宋_GB2312" w:eastAsia="仿宋_GB2312" w:cs="仿宋_GB2312"/>
                <w:b w:val="0"/>
                <w:bCs w:val="0"/>
                <w:sz w:val="24"/>
                <w:lang w:val="en-US"/>
              </w:rPr>
            </w:pPr>
            <w:r>
              <w:rPr>
                <w:rFonts w:hint="eastAsia" w:ascii="仿宋_GB2312" w:hAnsi="仿宋_GB2312" w:eastAsia="仿宋_GB2312" w:cs="仿宋_GB2312"/>
                <w:b w:val="0"/>
                <w:bCs w:val="0"/>
                <w:sz w:val="24"/>
                <w:lang w:val="en-US" w:eastAsia="zh-CN"/>
              </w:rPr>
              <w:t>20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14:paraId="0AD2F316">
            <w:pPr>
              <w:keepNext w:val="0"/>
              <w:keepLines w:val="0"/>
              <w:pageBreakBefore w:val="0"/>
              <w:widowControl/>
              <w:suppressLineNumbers w:val="0"/>
              <w:tabs>
                <w:tab w:val="left" w:pos="854"/>
                <w:tab w:val="center" w:pos="1198"/>
              </w:tabs>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lang w:val="en-US" w:eastAsia="zh-CN"/>
              </w:rPr>
              <w:t>100%</w:t>
            </w:r>
          </w:p>
        </w:tc>
      </w:tr>
    </w:tbl>
    <w:p w14:paraId="2C22833E">
      <w:pPr>
        <w:keepNext w:val="0"/>
        <w:keepLines w:val="0"/>
        <w:pageBreakBefore w:val="0"/>
        <w:kinsoku/>
        <w:wordWrap/>
        <w:overflowPunct/>
        <w:topLinePunct w:val="0"/>
        <w:autoSpaceDE/>
        <w:bidi w:val="0"/>
        <w:adjustRightInd/>
        <w:snapToGrid/>
        <w:spacing w:afterAutospacing="0" w:line="360" w:lineRule="auto"/>
        <w:ind w:right="0" w:rightChars="0"/>
        <w:jc w:val="both"/>
        <w:textAlignment w:val="auto"/>
        <w:outlineLvl w:val="9"/>
        <w:rPr>
          <w:rFonts w:hint="eastAsia" w:ascii="仿宋_GB2312" w:eastAsia="仿宋_GB2312"/>
          <w:b/>
          <w:bCs/>
          <w:sz w:val="32"/>
          <w:szCs w:val="32"/>
          <w:lang w:val="en-US" w:eastAsia="zh-CN"/>
        </w:rPr>
      </w:pPr>
      <w:bookmarkStart w:id="14" w:name="_Toc2210"/>
      <w:bookmarkStart w:id="15" w:name="_Toc42021432"/>
    </w:p>
    <w:p w14:paraId="13C24E49">
      <w:pPr>
        <w:keepNext w:val="0"/>
        <w:keepLines w:val="0"/>
        <w:pageBreakBefore w:val="0"/>
        <w:kinsoku/>
        <w:wordWrap/>
        <w:overflowPunct/>
        <w:topLinePunct w:val="0"/>
        <w:autoSpaceDE/>
        <w:bidi w:val="0"/>
        <w:adjustRightInd/>
        <w:snapToGrid/>
        <w:spacing w:afterAutospacing="0" w:line="360" w:lineRule="auto"/>
        <w:ind w:right="0" w:rightChars="0" w:firstLine="643" w:firstLineChars="200"/>
        <w:jc w:val="both"/>
        <w:textAlignment w:val="auto"/>
        <w:outlineLvl w:val="9"/>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绩效评价指标分析</w:t>
      </w:r>
      <w:bookmarkEnd w:id="14"/>
    </w:p>
    <w:bookmarkEnd w:id="15"/>
    <w:p w14:paraId="2A4C7E1E">
      <w:pPr>
        <w:pageBreakBefore w:val="0"/>
        <w:widowControl w:val="0"/>
        <w:numPr>
          <w:ilvl w:val="0"/>
          <w:numId w:val="0"/>
        </w:numPr>
        <w:kinsoku/>
        <w:wordWrap/>
        <w:overflowPunct/>
        <w:topLinePunct w:val="0"/>
        <w:autoSpaceDE/>
        <w:autoSpaceDN/>
        <w:bidi w:val="0"/>
        <w:adjustRightInd/>
        <w:snapToGrid/>
        <w:spacing w:afterAutospacing="0" w:line="360" w:lineRule="auto"/>
        <w:ind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bookmarkStart w:id="16" w:name="_Toc6443"/>
      <w:r>
        <w:rPr>
          <w:rFonts w:hint="eastAsia" w:ascii="仿宋_GB2312" w:hAnsi="仿宋_GB2312" w:eastAsia="仿宋_GB2312" w:cs="仿宋_GB2312"/>
          <w:b/>
          <w:bCs/>
          <w:sz w:val="32"/>
          <w:szCs w:val="32"/>
          <w:lang w:val="en-US" w:eastAsia="zh-CN"/>
        </w:rPr>
        <w:t>1.决策指标。</w:t>
      </w:r>
      <w:r>
        <w:rPr>
          <w:rFonts w:hint="eastAsia" w:ascii="仿宋_GB2312" w:hAnsi="仿宋_GB2312" w:eastAsia="仿宋_GB2312" w:cs="仿宋_GB2312"/>
          <w:b w:val="0"/>
          <w:bCs w:val="0"/>
          <w:sz w:val="32"/>
          <w:szCs w:val="32"/>
          <w:lang w:val="en-US" w:eastAsia="zh-CN"/>
        </w:rPr>
        <w:t>资金决策指标设置20分，自评20分，得分率100%。2021年4月，我厅联合省财政厅以《关于安排我省新阶段东西部协作财政援助资金的请示》（农政〔2021〕531号）报请省政府同意，从2021年起，省财政每年承担江门、惠州、肇庆、湛江、茂名5市帮扶18</w:t>
      </w:r>
      <w:r>
        <w:rPr>
          <w:rFonts w:hint="eastAsia" w:ascii="仿宋_GB2312" w:hAnsi="仿宋_GB2312" w:eastAsia="仿宋_GB2312" w:cs="仿宋_GB2312"/>
          <w:b w:val="0"/>
          <w:bCs w:val="0"/>
          <w:kern w:val="2"/>
          <w:sz w:val="32"/>
          <w:szCs w:val="32"/>
          <w:lang w:val="en-US" w:eastAsia="zh-CN" w:bidi="ar-SA"/>
        </w:rPr>
        <w:t>个</w:t>
      </w:r>
      <w:r>
        <w:rPr>
          <w:rFonts w:hint="eastAsia" w:ascii="仿宋_GB2312" w:hAnsi="仿宋_GB2312" w:eastAsia="仿宋_GB2312" w:cs="仿宋_GB2312"/>
          <w:b w:val="0"/>
          <w:kern w:val="2"/>
          <w:sz w:val="32"/>
          <w:szCs w:val="32"/>
          <w:lang w:val="en-US" w:eastAsia="zh-CN"/>
        </w:rPr>
        <w:t>脱贫</w:t>
      </w:r>
      <w:r>
        <w:rPr>
          <w:rFonts w:hint="eastAsia" w:ascii="仿宋_GB2312" w:hAnsi="仿宋_GB2312" w:eastAsia="仿宋_GB2312" w:cs="仿宋_GB2312"/>
          <w:b w:val="0"/>
          <w:bCs w:val="0"/>
          <w:sz w:val="32"/>
          <w:szCs w:val="32"/>
          <w:lang w:val="en-US" w:eastAsia="zh-CN"/>
        </w:rPr>
        <w:t>县中的16县的财政援助资金，其余2县由江门、惠州自行承担；珠三角等帮扶市按照新的结对帮扶关系，自行全额承担其余81</w:t>
      </w:r>
      <w:r>
        <w:rPr>
          <w:rFonts w:hint="eastAsia" w:ascii="仿宋_GB2312" w:hAnsi="仿宋_GB2312" w:eastAsia="仿宋_GB2312" w:cs="仿宋_GB2312"/>
          <w:b w:val="0"/>
          <w:bCs w:val="0"/>
          <w:kern w:val="2"/>
          <w:sz w:val="32"/>
          <w:szCs w:val="32"/>
          <w:lang w:val="en-US" w:eastAsia="zh-CN" w:bidi="ar-SA"/>
        </w:rPr>
        <w:t>个</w:t>
      </w:r>
      <w:r>
        <w:rPr>
          <w:rFonts w:hint="eastAsia" w:ascii="仿宋_GB2312" w:hAnsi="仿宋_GB2312" w:eastAsia="仿宋_GB2312" w:cs="仿宋_GB2312"/>
          <w:b w:val="0"/>
          <w:kern w:val="2"/>
          <w:sz w:val="32"/>
          <w:szCs w:val="32"/>
          <w:lang w:val="en-US" w:eastAsia="zh-CN"/>
        </w:rPr>
        <w:t>脱贫</w:t>
      </w:r>
      <w:r>
        <w:rPr>
          <w:rFonts w:hint="eastAsia" w:ascii="仿宋_GB2312" w:hAnsi="仿宋_GB2312" w:eastAsia="仿宋_GB2312" w:cs="仿宋_GB2312"/>
          <w:b w:val="0"/>
          <w:bCs w:val="0"/>
          <w:sz w:val="32"/>
          <w:szCs w:val="32"/>
          <w:lang w:val="en-US" w:eastAsia="zh-CN"/>
        </w:rPr>
        <w:t>县的财政援助资金。2021年3月，中共中央办公厅、国务院办公厅印发《关于坚持和完善东西部协作机制的意见》（厅字〔2021〕10号），明确提出“保持资金投入力度，并以2020年投入水平为基础，建立资金投入增长机制并将投入资金列入年度预算”。据此精神，我省每年分别与广西、贵州签订粤桂、粤黔《东西部协作协议》，2023年，我省与广西、贵州分别签订的《东西部协作协议》明确，财政投放资金按县均5100万元标准投入，省级财政承担8.16亿元，其中支持广西5.1亿元，支持贵州3.06亿元，资金于当年3月31日已拨付完毕。省级财政援助资金拨付通知、粤桂粤黔协作资金管理办法对财政援助资金的目标设置及保障措施进行了进一步明确。</w:t>
      </w:r>
    </w:p>
    <w:p w14:paraId="2F1F62A0">
      <w:pPr>
        <w:keepNext w:val="0"/>
        <w:keepLines w:val="0"/>
        <w:pageBreakBefore w:val="0"/>
        <w:kinsoku/>
        <w:wordWrap/>
        <w:overflowPunct/>
        <w:topLinePunct w:val="0"/>
        <w:autoSpaceDE/>
        <w:bidi w:val="0"/>
        <w:adjustRightInd/>
        <w:snapToGrid/>
        <w:spacing w:afterAutospacing="0" w:line="360" w:lineRule="auto"/>
        <w:ind w:right="0" w:rightChars="0" w:firstLine="643" w:firstLineChars="200"/>
        <w:jc w:val="both"/>
        <w:textAlignment w:val="auto"/>
        <w:outlineLvl w:val="9"/>
        <w:rPr>
          <w:rFonts w:ascii="仿宋_GB2312" w:eastAsia="仿宋_GB2312"/>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.过程</w:t>
      </w:r>
      <w:r>
        <w:rPr>
          <w:rFonts w:hint="eastAsia" w:ascii="仿宋_GB2312" w:eastAsia="仿宋_GB2312"/>
          <w:b/>
          <w:bCs/>
          <w:sz w:val="32"/>
          <w:szCs w:val="32"/>
          <w:lang w:val="en-US" w:eastAsia="zh-CN"/>
        </w:rPr>
        <w:t>指标</w:t>
      </w:r>
      <w:r>
        <w:rPr>
          <w:rFonts w:hint="eastAsia" w:ascii="仿宋_GB2312" w:eastAsia="仿宋_GB2312"/>
          <w:b/>
          <w:bCs/>
          <w:sz w:val="32"/>
          <w:szCs w:val="32"/>
        </w:rPr>
        <w:t>。</w:t>
      </w:r>
      <w:r>
        <w:rPr>
          <w:rFonts w:hint="eastAsia" w:ascii="仿宋_GB2312" w:eastAsia="仿宋_GB2312"/>
          <w:sz w:val="32"/>
          <w:szCs w:val="32"/>
        </w:rPr>
        <w:t>该指标主要从</w:t>
      </w:r>
      <w:r>
        <w:rPr>
          <w:rFonts w:hint="eastAsia" w:ascii="仿宋_GB2312" w:eastAsia="仿宋_GB2312"/>
          <w:b/>
          <w:bCs/>
          <w:sz w:val="32"/>
          <w:szCs w:val="32"/>
        </w:rPr>
        <w:t>资金管理</w:t>
      </w:r>
      <w:r>
        <w:rPr>
          <w:rFonts w:hint="eastAsia" w:ascii="仿宋_GB2312" w:eastAsia="仿宋_GB2312"/>
          <w:sz w:val="32"/>
          <w:szCs w:val="32"/>
        </w:rPr>
        <w:t>和</w:t>
      </w:r>
      <w:r>
        <w:rPr>
          <w:rFonts w:hint="eastAsia" w:ascii="仿宋_GB2312" w:eastAsia="仿宋_GB2312"/>
          <w:b/>
          <w:bCs/>
          <w:sz w:val="32"/>
          <w:szCs w:val="32"/>
        </w:rPr>
        <w:t>事项管理</w:t>
      </w:r>
      <w:r>
        <w:rPr>
          <w:rFonts w:hint="eastAsia" w:ascii="仿宋_GB2312" w:eastAsia="仿宋_GB2312"/>
          <w:sz w:val="32"/>
          <w:szCs w:val="32"/>
        </w:rPr>
        <w:t>两个方面考察项目资金</w:t>
      </w:r>
      <w:r>
        <w:rPr>
          <w:rFonts w:hint="eastAsia" w:ascii="仿宋_GB2312" w:eastAsia="仿宋_GB2312"/>
          <w:sz w:val="32"/>
          <w:szCs w:val="32"/>
          <w:lang w:val="en-US" w:eastAsia="zh-CN"/>
        </w:rPr>
        <w:t>支出率和监管有</w:t>
      </w:r>
      <w:r>
        <w:rPr>
          <w:rFonts w:hint="eastAsia" w:ascii="仿宋_GB2312" w:eastAsia="仿宋_GB2312"/>
          <w:sz w:val="32"/>
          <w:szCs w:val="32"/>
        </w:rPr>
        <w:t>效性。指标分值20分，</w:t>
      </w:r>
      <w:r>
        <w:rPr>
          <w:rFonts w:hint="eastAsia" w:ascii="仿宋_GB2312" w:eastAsia="仿宋_GB2312"/>
          <w:sz w:val="32"/>
          <w:szCs w:val="32"/>
          <w:lang w:val="en-US" w:eastAsia="zh-CN"/>
        </w:rPr>
        <w:t>自评</w:t>
      </w:r>
      <w:r>
        <w:rPr>
          <w:rFonts w:hint="eastAsia" w:ascii="仿宋_GB2312" w:eastAsia="仿宋_GB2312"/>
          <w:sz w:val="32"/>
          <w:szCs w:val="32"/>
        </w:rPr>
        <w:t>得分20分，得分率为100%。</w:t>
      </w:r>
      <w:bookmarkEnd w:id="16"/>
    </w:p>
    <w:p w14:paraId="0AD3AB33">
      <w:pPr>
        <w:keepNext w:val="0"/>
        <w:keepLines w:val="0"/>
        <w:pageBreakBefore w:val="0"/>
        <w:kinsoku/>
        <w:wordWrap/>
        <w:overflowPunct/>
        <w:topLinePunct w:val="0"/>
        <w:autoSpaceDE/>
        <w:bidi w:val="0"/>
        <w:adjustRightInd/>
        <w:snapToGrid/>
        <w:spacing w:afterAutospacing="0" w:line="360" w:lineRule="auto"/>
        <w:ind w:right="0" w:rightChars="0" w:firstLine="643" w:firstLineChars="200"/>
        <w:jc w:val="both"/>
        <w:textAlignment w:val="auto"/>
        <w:outlineLvl w:val="9"/>
        <w:rPr>
          <w:rFonts w:hint="default" w:ascii="仿宋_GB2312" w:hAnsi="Calibri" w:eastAsia="仿宋_GB2312" w:cs="Times New Roman"/>
          <w:b w:val="0"/>
          <w:kern w:val="2"/>
          <w:sz w:val="32"/>
          <w:szCs w:val="32"/>
          <w:highlight w:val="none"/>
          <w:lang w:val="en-US" w:eastAsia="zh-CN" w:bidi="ar-SA"/>
        </w:rPr>
      </w:pPr>
      <w:r>
        <w:rPr>
          <w:rFonts w:hint="eastAsia" w:ascii="仿宋_GB2312" w:eastAsia="仿宋_GB2312"/>
          <w:b/>
          <w:bCs/>
          <w:sz w:val="32"/>
          <w:szCs w:val="32"/>
        </w:rPr>
        <w:t>（1）资金</w:t>
      </w:r>
      <w:r>
        <w:rPr>
          <w:rFonts w:hint="eastAsia" w:ascii="仿宋_GB2312" w:eastAsia="仿宋_GB2312"/>
          <w:b/>
          <w:bCs/>
          <w:sz w:val="32"/>
          <w:szCs w:val="32"/>
          <w:lang w:val="en-US" w:eastAsia="zh-CN"/>
        </w:rPr>
        <w:t>管理</w:t>
      </w:r>
      <w:r>
        <w:rPr>
          <w:rFonts w:hint="eastAsia" w:ascii="仿宋_GB2312" w:eastAsia="仿宋_GB2312"/>
          <w:b/>
          <w:bCs/>
          <w:sz w:val="32"/>
          <w:szCs w:val="32"/>
        </w:rPr>
        <w:t>。</w:t>
      </w:r>
      <w:r>
        <w:rPr>
          <w:rFonts w:hint="eastAsia" w:ascii="仿宋_GB2312" w:eastAsia="仿宋_GB2312"/>
          <w:sz w:val="32"/>
          <w:szCs w:val="32"/>
        </w:rPr>
        <w:t>指标分值</w:t>
      </w:r>
      <w:r>
        <w:rPr>
          <w:rFonts w:hint="eastAsia" w:ascii="仿宋_GB2312" w:eastAsia="仿宋_GB2312"/>
          <w:sz w:val="32"/>
          <w:szCs w:val="32"/>
          <w:lang w:val="en-US" w:eastAsia="zh-CN"/>
        </w:rPr>
        <w:t>12</w:t>
      </w:r>
      <w:r>
        <w:rPr>
          <w:rFonts w:hint="eastAsia" w:ascii="仿宋_GB2312" w:eastAsia="仿宋_GB2312"/>
          <w:sz w:val="32"/>
          <w:szCs w:val="32"/>
        </w:rPr>
        <w:t>分，</w:t>
      </w:r>
      <w:r>
        <w:rPr>
          <w:rFonts w:hint="eastAsia" w:ascii="仿宋_GB2312" w:eastAsia="仿宋_GB2312"/>
          <w:sz w:val="32"/>
          <w:szCs w:val="32"/>
          <w:lang w:eastAsia="zh-CN"/>
        </w:rPr>
        <w:t>自评得分</w:t>
      </w:r>
      <w:r>
        <w:rPr>
          <w:rFonts w:hint="eastAsia" w:ascii="仿宋_GB2312" w:eastAsia="仿宋_GB2312"/>
          <w:sz w:val="32"/>
          <w:szCs w:val="32"/>
          <w:lang w:val="en-US" w:eastAsia="zh-CN"/>
        </w:rPr>
        <w:t>12</w:t>
      </w:r>
      <w:r>
        <w:rPr>
          <w:rFonts w:hint="eastAsia" w:ascii="仿宋_GB2312" w:eastAsia="仿宋_GB2312"/>
          <w:sz w:val="32"/>
          <w:szCs w:val="32"/>
        </w:rPr>
        <w:t>分，得分率100%。截至202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月31日，省级东西协作</w:t>
      </w:r>
      <w:r>
        <w:rPr>
          <w:rFonts w:hint="eastAsia" w:ascii="仿宋_GB2312" w:eastAsia="仿宋_GB2312"/>
          <w:sz w:val="32"/>
          <w:szCs w:val="32"/>
          <w:lang w:val="en-US" w:eastAsia="zh-CN"/>
        </w:rPr>
        <w:t>财政援助</w:t>
      </w:r>
      <w:r>
        <w:rPr>
          <w:rFonts w:hint="eastAsia" w:ascii="仿宋_GB2312" w:eastAsia="仿宋_GB2312"/>
          <w:sz w:val="32"/>
          <w:szCs w:val="32"/>
        </w:rPr>
        <w:t>资金到位</w:t>
      </w:r>
      <w:r>
        <w:rPr>
          <w:rFonts w:hint="eastAsia" w:ascii="仿宋_GB2312" w:eastAsia="仿宋_GB2312"/>
          <w:sz w:val="32"/>
          <w:szCs w:val="32"/>
          <w:lang w:val="en-US" w:eastAsia="zh-CN"/>
        </w:rPr>
        <w:t>8.16亿元</w:t>
      </w:r>
      <w:r>
        <w:rPr>
          <w:rFonts w:hint="eastAsia" w:ascii="仿宋_GB2312" w:eastAsia="仿宋_GB2312"/>
          <w:sz w:val="32"/>
          <w:szCs w:val="32"/>
        </w:rPr>
        <w:t>，支出合计</w:t>
      </w:r>
      <w:r>
        <w:rPr>
          <w:rFonts w:hint="eastAsia" w:ascii="仿宋_GB2312" w:eastAsia="仿宋_GB2312"/>
          <w:sz w:val="32"/>
          <w:szCs w:val="32"/>
          <w:lang w:val="en-US" w:eastAsia="zh-CN"/>
        </w:rPr>
        <w:t>8.16</w:t>
      </w:r>
      <w:r>
        <w:rPr>
          <w:rFonts w:hint="eastAsia" w:ascii="仿宋_GB2312" w:eastAsia="仿宋_GB2312"/>
          <w:sz w:val="32"/>
          <w:szCs w:val="32"/>
        </w:rPr>
        <w:t>万元，支出率100%。</w:t>
      </w:r>
      <w:r>
        <w:rPr>
          <w:rFonts w:hint="eastAsia" w:ascii="仿宋_GB2312" w:eastAsia="仿宋_GB2312"/>
          <w:sz w:val="32"/>
          <w:szCs w:val="32"/>
          <w:lang w:val="en-US" w:eastAsia="zh-CN"/>
        </w:rPr>
        <w:t>资金主要用于产业、劳务、干部人才培训、打造乡村振兴典型、改善农村人居环境、支持学校和养老院建设及脱贫残疾人帮扶等方面；拨付粤桂、粤黔协作工作队工作经费，人员补助经费，“组团式”人才保障费共3985.77万元，</w:t>
      </w:r>
      <w:r>
        <w:rPr>
          <w:rFonts w:hint="eastAsia" w:ascii="仿宋_GB2312" w:eastAsia="仿宋_GB2312"/>
          <w:sz w:val="32"/>
          <w:szCs w:val="32"/>
          <w:highlight w:val="none"/>
          <w:lang w:val="en-US" w:eastAsia="zh-CN"/>
        </w:rPr>
        <w:t>主要用于协作干部</w:t>
      </w:r>
      <w:r>
        <w:rPr>
          <w:rFonts w:hint="eastAsia" w:ascii="仿宋_GB2312" w:eastAsia="仿宋_GB2312"/>
          <w:sz w:val="32"/>
          <w:szCs w:val="32"/>
          <w:highlight w:val="none"/>
        </w:rPr>
        <w:t>调研对接、会务培训、</w:t>
      </w:r>
      <w:r>
        <w:rPr>
          <w:rFonts w:hint="eastAsia" w:ascii="仿宋_GB2312" w:eastAsia="仿宋_GB2312"/>
          <w:sz w:val="32"/>
          <w:szCs w:val="32"/>
          <w:highlight w:val="none"/>
          <w:lang w:val="en-US" w:eastAsia="zh-CN"/>
        </w:rPr>
        <w:t>业务</w:t>
      </w:r>
      <w:r>
        <w:rPr>
          <w:rFonts w:hint="eastAsia" w:ascii="仿宋_GB2312" w:eastAsia="仿宋_GB2312"/>
          <w:sz w:val="32"/>
          <w:szCs w:val="32"/>
          <w:highlight w:val="none"/>
        </w:rPr>
        <w:t>差旅、宣传报道、公务租车、房屋租赁、人员聘用</w:t>
      </w:r>
      <w:r>
        <w:rPr>
          <w:rFonts w:hint="eastAsia" w:ascii="仿宋_GB2312" w:eastAsia="仿宋_GB2312"/>
          <w:sz w:val="32"/>
          <w:szCs w:val="32"/>
          <w:highlight w:val="none"/>
          <w:lang w:val="en-US" w:eastAsia="zh-CN"/>
        </w:rPr>
        <w:t>和人员补助及</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组团式”人才保障支出</w:t>
      </w:r>
      <w:r>
        <w:rPr>
          <w:rFonts w:hint="eastAsia" w:ascii="仿宋_GB2312" w:hAnsi="仿宋_GB2312" w:eastAsia="仿宋_GB2312" w:cs="仿宋_GB2312"/>
          <w:b w:val="0"/>
          <w:bCs w:val="0"/>
          <w:sz w:val="32"/>
          <w:szCs w:val="32"/>
          <w:highlight w:val="none"/>
          <w:lang w:val="en-US" w:eastAsia="zh-CN"/>
        </w:rPr>
        <w:t>等。</w:t>
      </w:r>
      <w:r>
        <w:rPr>
          <w:rFonts w:hint="eastAsia" w:ascii="仿宋_GB2312" w:hAnsi="Calibri" w:eastAsia="仿宋_GB2312" w:cs="Times New Roman"/>
          <w:b w:val="0"/>
          <w:kern w:val="2"/>
          <w:sz w:val="32"/>
          <w:szCs w:val="32"/>
          <w:highlight w:val="none"/>
          <w:lang w:val="en-US" w:eastAsia="zh-CN" w:bidi="ar-SA"/>
        </w:rPr>
        <w:t>有关单位和地市按照协作资金管理办法和财务制度规定，</w:t>
      </w:r>
      <w:r>
        <w:rPr>
          <w:rFonts w:hint="eastAsia" w:ascii="仿宋_GB2312" w:eastAsia="仿宋_GB2312" w:cs="Times New Roman"/>
          <w:b w:val="0"/>
          <w:kern w:val="2"/>
          <w:sz w:val="32"/>
          <w:szCs w:val="32"/>
          <w:highlight w:val="none"/>
          <w:lang w:val="en-US" w:eastAsia="zh-CN" w:bidi="ar-SA"/>
        </w:rPr>
        <w:t>及时</w:t>
      </w:r>
      <w:r>
        <w:rPr>
          <w:rFonts w:hint="eastAsia" w:ascii="仿宋_GB2312" w:hAnsi="Calibri" w:eastAsia="仿宋_GB2312" w:cs="Times New Roman"/>
          <w:b w:val="0"/>
          <w:kern w:val="2"/>
          <w:sz w:val="32"/>
          <w:szCs w:val="32"/>
          <w:highlight w:val="none"/>
          <w:lang w:val="en-US" w:eastAsia="zh-CN" w:bidi="ar-SA"/>
        </w:rPr>
        <w:t>做好资金申报审核审批</w:t>
      </w:r>
      <w:r>
        <w:rPr>
          <w:rFonts w:hint="eastAsia" w:ascii="仿宋_GB2312" w:eastAsia="仿宋_GB2312" w:cs="Times New Roman"/>
          <w:b w:val="0"/>
          <w:kern w:val="2"/>
          <w:sz w:val="32"/>
          <w:szCs w:val="32"/>
          <w:highlight w:val="none"/>
          <w:lang w:val="en-US" w:eastAsia="zh-CN" w:bidi="ar-SA"/>
        </w:rPr>
        <w:t>，</w:t>
      </w:r>
      <w:r>
        <w:rPr>
          <w:rFonts w:hint="eastAsia" w:ascii="仿宋_GB2312" w:hAnsi="Calibri" w:eastAsia="仿宋_GB2312" w:cs="Times New Roman"/>
          <w:b w:val="0"/>
          <w:kern w:val="2"/>
          <w:sz w:val="32"/>
          <w:szCs w:val="32"/>
          <w:highlight w:val="none"/>
          <w:lang w:val="en-US" w:eastAsia="zh-CN" w:bidi="ar-SA"/>
        </w:rPr>
        <w:t>资金支付按照批准的采购方式和结算方式列支，未发现虚</w:t>
      </w:r>
      <w:r>
        <w:rPr>
          <w:rFonts w:hint="eastAsia" w:ascii="仿宋_GB2312" w:eastAsia="仿宋_GB2312" w:cs="Times New Roman"/>
          <w:b w:val="0"/>
          <w:kern w:val="2"/>
          <w:sz w:val="32"/>
          <w:szCs w:val="32"/>
          <w:highlight w:val="none"/>
          <w:lang w:val="en-US" w:eastAsia="zh-CN" w:bidi="ar-SA"/>
        </w:rPr>
        <w:t>假列</w:t>
      </w:r>
      <w:r>
        <w:rPr>
          <w:rFonts w:hint="eastAsia" w:ascii="仿宋_GB2312" w:hAnsi="Calibri" w:eastAsia="仿宋_GB2312" w:cs="Times New Roman"/>
          <w:b w:val="0"/>
          <w:kern w:val="2"/>
          <w:sz w:val="32"/>
          <w:szCs w:val="32"/>
          <w:highlight w:val="none"/>
          <w:lang w:val="en-US" w:eastAsia="zh-CN" w:bidi="ar-SA"/>
        </w:rPr>
        <w:t>支</w:t>
      </w:r>
      <w:r>
        <w:rPr>
          <w:rFonts w:hint="eastAsia" w:ascii="仿宋_GB2312" w:eastAsia="仿宋_GB2312" w:cs="Times New Roman"/>
          <w:b w:val="0"/>
          <w:kern w:val="2"/>
          <w:sz w:val="32"/>
          <w:szCs w:val="32"/>
          <w:highlight w:val="none"/>
          <w:lang w:val="en-US" w:eastAsia="zh-CN" w:bidi="ar-SA"/>
        </w:rPr>
        <w:t>等</w:t>
      </w:r>
      <w:r>
        <w:rPr>
          <w:rFonts w:hint="eastAsia" w:ascii="仿宋_GB2312" w:hAnsi="Calibri" w:eastAsia="仿宋_GB2312" w:cs="Times New Roman"/>
          <w:b w:val="0"/>
          <w:kern w:val="2"/>
          <w:sz w:val="32"/>
          <w:szCs w:val="32"/>
          <w:highlight w:val="none"/>
          <w:lang w:val="en-US" w:eastAsia="zh-CN" w:bidi="ar-SA"/>
        </w:rPr>
        <w:t>情况。</w:t>
      </w:r>
      <w:r>
        <w:rPr>
          <w:rFonts w:hint="eastAsia" w:ascii="仿宋_GB2312" w:eastAsia="仿宋_GB2312" w:cs="Times New Roman"/>
          <w:b/>
          <w:bCs/>
          <w:kern w:val="2"/>
          <w:sz w:val="32"/>
          <w:szCs w:val="32"/>
          <w:highlight w:val="none"/>
          <w:lang w:val="en-US" w:eastAsia="zh-CN" w:bidi="ar-SA"/>
        </w:rPr>
        <w:t>一是做好了项目计划编制。</w:t>
      </w:r>
      <w:r>
        <w:rPr>
          <w:rFonts w:hint="eastAsia" w:ascii="仿宋_GB2312" w:eastAsia="仿宋_GB2312" w:cs="Times New Roman"/>
          <w:b w:val="0"/>
          <w:kern w:val="2"/>
          <w:sz w:val="32"/>
          <w:szCs w:val="32"/>
          <w:highlight w:val="none"/>
          <w:lang w:val="en-US" w:eastAsia="zh-CN" w:bidi="ar-SA"/>
        </w:rPr>
        <w:t>各结对帮扶县均按计划制定了资金项目使用计划，采取“从下至上”方式审批管理流程，逐级报请相关项目管理部门审阅后，再由协作当地县级人民政府常务会议审定，报省级协作部门和财政部门备案。</w:t>
      </w:r>
      <w:r>
        <w:rPr>
          <w:rFonts w:hint="eastAsia" w:ascii="仿宋_GB2312" w:eastAsia="仿宋_GB2312" w:cs="Times New Roman"/>
          <w:b/>
          <w:bCs/>
          <w:kern w:val="2"/>
          <w:sz w:val="32"/>
          <w:szCs w:val="32"/>
          <w:highlight w:val="none"/>
          <w:lang w:val="en-US" w:eastAsia="zh-CN" w:bidi="ar-SA"/>
        </w:rPr>
        <w:t>二是做好项目招投标工作。</w:t>
      </w:r>
      <w:r>
        <w:rPr>
          <w:rFonts w:hint="eastAsia" w:ascii="仿宋_GB2312" w:eastAsia="仿宋_GB2312" w:cs="Times New Roman"/>
          <w:b w:val="0"/>
          <w:kern w:val="2"/>
          <w:sz w:val="32"/>
          <w:szCs w:val="32"/>
          <w:highlight w:val="none"/>
          <w:lang w:val="en-US" w:eastAsia="zh-CN" w:bidi="ar-SA"/>
        </w:rPr>
        <w:t>所有东西部协作资金支持的项目均按照协作资金管理办法规定，实行公开招投标和公示制度，做到公正公开。</w:t>
      </w:r>
      <w:r>
        <w:rPr>
          <w:rFonts w:hint="eastAsia" w:ascii="仿宋_GB2312" w:eastAsia="仿宋_GB2312" w:cs="Times New Roman"/>
          <w:b/>
          <w:bCs/>
          <w:kern w:val="2"/>
          <w:sz w:val="32"/>
          <w:szCs w:val="32"/>
          <w:highlight w:val="none"/>
          <w:lang w:val="en-US" w:eastAsia="zh-CN" w:bidi="ar-SA"/>
        </w:rPr>
        <w:t>三是做好报账制度。</w:t>
      </w:r>
      <w:r>
        <w:rPr>
          <w:rFonts w:hint="eastAsia" w:ascii="仿宋_GB2312" w:eastAsia="仿宋_GB2312" w:cs="Times New Roman"/>
          <w:b w:val="0"/>
          <w:kern w:val="2"/>
          <w:sz w:val="32"/>
          <w:szCs w:val="32"/>
          <w:highlight w:val="none"/>
          <w:lang w:val="en-US" w:eastAsia="zh-CN" w:bidi="ar-SA"/>
        </w:rPr>
        <w:t>财政和项目实施单位设专户专账专人管理，资金拨付坚持按计划和工程进度及质量验收拨款，坚持职能部门联审，确保专款专用。</w:t>
      </w:r>
      <w:r>
        <w:rPr>
          <w:rFonts w:hint="eastAsia" w:ascii="仿宋_GB2312" w:eastAsia="仿宋_GB2312" w:cs="Times New Roman"/>
          <w:b/>
          <w:bCs/>
          <w:kern w:val="2"/>
          <w:sz w:val="32"/>
          <w:szCs w:val="32"/>
          <w:highlight w:val="none"/>
          <w:lang w:val="en-US" w:eastAsia="zh-CN" w:bidi="ar-SA"/>
        </w:rPr>
        <w:t>四是做好督导检查。</w:t>
      </w:r>
      <w:r>
        <w:rPr>
          <w:rFonts w:hint="eastAsia" w:ascii="仿宋_GB2312" w:eastAsia="仿宋_GB2312" w:cs="Times New Roman"/>
          <w:b w:val="0"/>
          <w:kern w:val="2"/>
          <w:sz w:val="32"/>
          <w:szCs w:val="32"/>
          <w:highlight w:val="none"/>
          <w:lang w:val="en-US" w:eastAsia="zh-CN" w:bidi="ar-SA"/>
        </w:rPr>
        <w:t>采取定期和不定期相结合方式对项目实行督导检查，严把项目审核关口，形成项目事前事中事后闭环式监督管理机制。</w:t>
      </w:r>
      <w:r>
        <w:rPr>
          <w:rFonts w:hint="eastAsia" w:ascii="仿宋_GB2312" w:eastAsia="仿宋_GB2312" w:cs="Times New Roman"/>
          <w:b/>
          <w:bCs/>
          <w:kern w:val="2"/>
          <w:sz w:val="32"/>
          <w:szCs w:val="32"/>
          <w:highlight w:val="none"/>
          <w:lang w:val="en-US" w:eastAsia="zh-CN" w:bidi="ar-SA"/>
        </w:rPr>
        <w:t>五是执行月报制度。</w:t>
      </w:r>
      <w:r>
        <w:rPr>
          <w:rFonts w:hint="eastAsia" w:ascii="仿宋_GB2312" w:eastAsia="仿宋_GB2312" w:cs="Times New Roman"/>
          <w:b w:val="0"/>
          <w:kern w:val="2"/>
          <w:sz w:val="32"/>
          <w:szCs w:val="32"/>
          <w:highlight w:val="none"/>
          <w:lang w:val="en-US" w:eastAsia="zh-CN" w:bidi="ar-SA"/>
        </w:rPr>
        <w:t>按照重点工作统计要求，按月报告经费使用和项目进展情况，及时掌握资金使用和项目进展。</w:t>
      </w:r>
    </w:p>
    <w:p w14:paraId="49A5676B">
      <w:pPr>
        <w:keepNext w:val="0"/>
        <w:keepLines w:val="0"/>
        <w:pageBreakBefore w:val="0"/>
        <w:widowControl/>
        <w:suppressLineNumbers w:val="0"/>
        <w:kinsoku/>
        <w:wordWrap/>
        <w:overflowPunct/>
        <w:topLinePunct w:val="0"/>
        <w:autoSpaceDE/>
        <w:bidi w:val="0"/>
        <w:spacing w:line="360" w:lineRule="auto"/>
        <w:ind w:firstLine="643" w:firstLineChars="200"/>
        <w:jc w:val="left"/>
        <w:textAlignment w:val="auto"/>
        <w:rPr>
          <w:rFonts w:hint="default" w:ascii="仿宋_GB2312" w:hAnsi="仿宋_GB2312" w:eastAsia="仿宋_GB2312" w:cs="仿宋_GB2312"/>
          <w:sz w:val="32"/>
          <w:lang w:val="en-US" w:eastAsia="zh-CN"/>
        </w:rPr>
      </w:pPr>
      <w:r>
        <w:rPr>
          <w:rFonts w:hint="eastAsia" w:ascii="仿宋_GB2312" w:eastAsia="仿宋_GB2312"/>
          <w:b/>
          <w:bCs/>
          <w:sz w:val="32"/>
          <w:szCs w:val="32"/>
        </w:rPr>
        <w:t>（</w:t>
      </w:r>
      <w:r>
        <w:rPr>
          <w:rFonts w:hint="eastAsia" w:ascii="仿宋_GB2312" w:eastAsia="仿宋_GB2312"/>
          <w:b/>
          <w:bCs/>
          <w:sz w:val="32"/>
          <w:szCs w:val="32"/>
          <w:lang w:val="en-US" w:eastAsia="zh-CN"/>
        </w:rPr>
        <w:t>2</w:t>
      </w:r>
      <w:r>
        <w:rPr>
          <w:rFonts w:hint="eastAsia" w:ascii="仿宋_GB2312" w:eastAsia="仿宋_GB2312"/>
          <w:b/>
          <w:bCs/>
          <w:sz w:val="32"/>
          <w:szCs w:val="32"/>
        </w:rPr>
        <w:t>）</w:t>
      </w:r>
      <w:r>
        <w:rPr>
          <w:rFonts w:hint="eastAsia" w:ascii="仿宋_GB2312" w:eastAsia="仿宋_GB2312"/>
          <w:b/>
          <w:bCs/>
          <w:sz w:val="32"/>
          <w:szCs w:val="32"/>
          <w:lang w:val="en-US" w:eastAsia="zh-CN"/>
        </w:rPr>
        <w:t>事项管理</w:t>
      </w:r>
      <w:r>
        <w:rPr>
          <w:rFonts w:hint="eastAsia" w:ascii="仿宋_GB2312" w:eastAsia="仿宋_GB2312"/>
          <w:b/>
          <w:bCs/>
          <w:sz w:val="32"/>
          <w:szCs w:val="32"/>
        </w:rPr>
        <w:t>。</w:t>
      </w:r>
      <w:r>
        <w:rPr>
          <w:rFonts w:hint="eastAsia" w:ascii="仿宋_GB2312" w:eastAsia="仿宋_GB2312"/>
          <w:sz w:val="32"/>
          <w:szCs w:val="32"/>
        </w:rPr>
        <w:t>指标分值</w:t>
      </w:r>
      <w:r>
        <w:rPr>
          <w:rFonts w:hint="eastAsia" w:ascii="仿宋_GB2312" w:eastAsia="仿宋_GB2312"/>
          <w:sz w:val="32"/>
          <w:szCs w:val="32"/>
          <w:lang w:val="en-US" w:eastAsia="zh-CN"/>
        </w:rPr>
        <w:t>8</w:t>
      </w:r>
      <w:r>
        <w:rPr>
          <w:rFonts w:ascii="仿宋_GB2312" w:eastAsia="仿宋_GB2312"/>
          <w:sz w:val="32"/>
          <w:szCs w:val="32"/>
        </w:rPr>
        <w:t>分，</w:t>
      </w:r>
      <w:r>
        <w:rPr>
          <w:rFonts w:hint="eastAsia" w:ascii="仿宋_GB2312" w:eastAsia="仿宋_GB2312"/>
          <w:sz w:val="32"/>
          <w:szCs w:val="32"/>
          <w:lang w:eastAsia="zh-CN"/>
        </w:rPr>
        <w:t>自评得分</w:t>
      </w:r>
      <w:r>
        <w:rPr>
          <w:rFonts w:hint="eastAsia" w:ascii="仿宋_GB2312" w:eastAsia="仿宋_GB2312"/>
          <w:sz w:val="32"/>
          <w:szCs w:val="32"/>
          <w:lang w:val="en-US" w:eastAsia="zh-CN"/>
        </w:rPr>
        <w:t>8</w:t>
      </w:r>
      <w:r>
        <w:rPr>
          <w:rFonts w:ascii="仿宋_GB2312" w:eastAsia="仿宋_GB2312"/>
          <w:sz w:val="32"/>
          <w:szCs w:val="32"/>
        </w:rPr>
        <w:t>分，得分率为</w:t>
      </w:r>
      <w:r>
        <w:rPr>
          <w:rFonts w:hint="eastAsia" w:ascii="仿宋_GB2312" w:eastAsia="仿宋_GB2312"/>
          <w:sz w:val="32"/>
          <w:szCs w:val="32"/>
        </w:rPr>
        <w:t>100</w:t>
      </w:r>
      <w:r>
        <w:rPr>
          <w:rFonts w:ascii="仿宋_GB2312" w:eastAsia="仿宋_GB2312"/>
          <w:sz w:val="32"/>
          <w:szCs w:val="32"/>
        </w:rPr>
        <w:t>%。</w:t>
      </w:r>
      <w:r>
        <w:rPr>
          <w:rFonts w:hint="eastAsia" w:ascii="仿宋_GB2312" w:eastAsia="仿宋_GB2312"/>
          <w:sz w:val="32"/>
          <w:szCs w:val="32"/>
          <w:lang w:val="en-US" w:eastAsia="zh-CN"/>
        </w:rPr>
        <w:t>省级层面党政主要领导每年对接并召开联席会议，部署有关协作工作。分管领导每年赴实地调研督导工作，召开工作推进会。主管协作部门按照国家和省的要求适时召开会议，统筹指导协作工作开展，通报工作进程，督促各级抓好项目落地落实，并按要求组织年度协作工作考核评价。</w:t>
      </w:r>
      <w:r>
        <w:rPr>
          <w:rFonts w:hint="eastAsia" w:ascii="仿宋_GB2312" w:hAnsi="仿宋_GB2312" w:eastAsia="仿宋_GB2312" w:cs="仿宋_GB2312"/>
          <w:sz w:val="32"/>
          <w:szCs w:val="32"/>
          <w:lang w:val="en-US" w:eastAsia="zh-CN"/>
        </w:rPr>
        <w:t>协作当地</w:t>
      </w:r>
      <w:r>
        <w:rPr>
          <w:rFonts w:hint="eastAsia" w:ascii="仿宋_GB2312" w:eastAsia="仿宋_GB2312"/>
          <w:sz w:val="32"/>
          <w:szCs w:val="32"/>
        </w:rPr>
        <w:t>相关单位在</w:t>
      </w:r>
      <w:r>
        <w:rPr>
          <w:rFonts w:ascii="仿宋_GB2312" w:eastAsia="仿宋_GB2312"/>
          <w:sz w:val="32"/>
          <w:szCs w:val="32"/>
        </w:rPr>
        <w:t>收到</w:t>
      </w:r>
      <w:r>
        <w:rPr>
          <w:rFonts w:hint="eastAsia" w:ascii="仿宋_GB2312" w:eastAsia="仿宋_GB2312"/>
          <w:sz w:val="32"/>
          <w:szCs w:val="32"/>
          <w:lang w:val="en-US" w:eastAsia="zh-CN"/>
        </w:rPr>
        <w:t>我</w:t>
      </w:r>
      <w:r>
        <w:rPr>
          <w:rFonts w:ascii="仿宋_GB2312" w:eastAsia="仿宋_GB2312"/>
          <w:sz w:val="32"/>
          <w:szCs w:val="32"/>
        </w:rPr>
        <w:t>省财</w:t>
      </w:r>
      <w:r>
        <w:rPr>
          <w:rFonts w:hint="eastAsia" w:ascii="仿宋_GB2312" w:eastAsia="仿宋_GB2312"/>
          <w:sz w:val="32"/>
          <w:szCs w:val="32"/>
          <w:lang w:val="en-US" w:eastAsia="zh-CN"/>
        </w:rPr>
        <w:t>政部门</w:t>
      </w:r>
      <w:r>
        <w:rPr>
          <w:rFonts w:ascii="仿宋_GB2312" w:eastAsia="仿宋_GB2312"/>
          <w:sz w:val="32"/>
          <w:szCs w:val="32"/>
        </w:rPr>
        <w:t>下达的预算指标后，能够按要求及时认真做好本地项目实施方案的编制工作。</w:t>
      </w:r>
      <w:r>
        <w:rPr>
          <w:rFonts w:hint="eastAsia" w:ascii="仿宋_GB2312" w:eastAsia="仿宋_GB2312"/>
          <w:sz w:val="32"/>
          <w:szCs w:val="32"/>
        </w:rPr>
        <w:t>受帮扶地区县级项目主管部门是加快帮扶资金执行进度的第一责任主体，负责组织项目实施，及时掌握并定期向受帮扶地区财政、</w:t>
      </w:r>
      <w:r>
        <w:rPr>
          <w:rFonts w:hint="eastAsia" w:ascii="仿宋_GB2312" w:eastAsia="仿宋_GB2312"/>
          <w:sz w:val="32"/>
          <w:szCs w:val="32"/>
          <w:lang w:val="en-US" w:eastAsia="zh-CN"/>
        </w:rPr>
        <w:t>乡村振兴</w:t>
      </w:r>
      <w:r>
        <w:rPr>
          <w:rFonts w:hint="eastAsia" w:ascii="仿宋_GB2312" w:eastAsia="仿宋_GB2312"/>
          <w:sz w:val="32"/>
          <w:szCs w:val="32"/>
        </w:rPr>
        <w:t>部门通报项目推进和资金支出情况，督促项目实施单位根据合同约定按时完成项目施工，确保完成</w:t>
      </w:r>
      <w:r>
        <w:rPr>
          <w:rFonts w:hint="eastAsia" w:ascii="仿宋_GB2312" w:eastAsia="仿宋_GB2312"/>
          <w:sz w:val="32"/>
          <w:szCs w:val="32"/>
          <w:lang w:val="en-US" w:eastAsia="zh-CN"/>
        </w:rPr>
        <w:t>协作</w:t>
      </w:r>
      <w:r>
        <w:rPr>
          <w:rFonts w:hint="eastAsia" w:ascii="仿宋_GB2312" w:eastAsia="仿宋_GB2312"/>
          <w:sz w:val="32"/>
          <w:szCs w:val="32"/>
        </w:rPr>
        <w:t>资金年度支出任务。</w:t>
      </w:r>
      <w:r>
        <w:rPr>
          <w:rFonts w:hint="eastAsia" w:ascii="仿宋_GB2312" w:eastAsia="仿宋_GB2312"/>
          <w:sz w:val="32"/>
          <w:szCs w:val="32"/>
          <w:lang w:eastAsia="zh-CN"/>
        </w:rPr>
        <w:t>被</w:t>
      </w:r>
      <w:r>
        <w:rPr>
          <w:rFonts w:hint="eastAsia" w:ascii="仿宋_GB2312" w:eastAsia="仿宋_GB2312"/>
          <w:sz w:val="32"/>
          <w:szCs w:val="32"/>
        </w:rPr>
        <w:t>帮扶地区财政部门负责加快资金拨付速度，加强资金监管，实时监控资金支出进度，督促主管部门落实</w:t>
      </w:r>
      <w:r>
        <w:rPr>
          <w:rFonts w:hint="eastAsia" w:ascii="仿宋_GB2312" w:eastAsia="仿宋_GB2312"/>
          <w:sz w:val="32"/>
          <w:szCs w:val="32"/>
          <w:lang w:val="en-US" w:eastAsia="zh-CN"/>
        </w:rPr>
        <w:t>资金</w:t>
      </w:r>
      <w:r>
        <w:rPr>
          <w:rFonts w:hint="eastAsia" w:ascii="仿宋_GB2312" w:eastAsia="仿宋_GB2312"/>
          <w:sz w:val="32"/>
          <w:szCs w:val="32"/>
        </w:rPr>
        <w:t>支出责任。</w:t>
      </w:r>
      <w:r>
        <w:rPr>
          <w:rFonts w:hint="eastAsia" w:ascii="仿宋_GB2312" w:hAnsi="仿宋_GB2312" w:eastAsia="仿宋_GB2312" w:cs="仿宋_GB2312"/>
          <w:b/>
          <w:bCs/>
          <w:sz w:val="32"/>
        </w:rPr>
        <w:t>一是</w:t>
      </w:r>
      <w:r>
        <w:rPr>
          <w:rFonts w:hint="eastAsia" w:ascii="仿宋_GB2312" w:hAnsi="仿宋_GB2312" w:eastAsia="仿宋_GB2312" w:cs="仿宋_GB2312"/>
          <w:sz w:val="32"/>
        </w:rPr>
        <w:t>我厅能够认真做好项目实施监管，开展预算执行监控，及时掌握并督促项目建设进度。</w:t>
      </w:r>
      <w:r>
        <w:rPr>
          <w:rFonts w:hint="eastAsia" w:ascii="仿宋_GB2312" w:hAnsi="仿宋_GB2312" w:eastAsia="仿宋_GB2312" w:cs="仿宋_GB2312"/>
          <w:b/>
          <w:bCs/>
          <w:sz w:val="32"/>
        </w:rPr>
        <w:t>二是</w:t>
      </w:r>
      <w:r>
        <w:rPr>
          <w:rFonts w:hint="eastAsia" w:ascii="仿宋_GB2312" w:hAnsi="仿宋_GB2312" w:eastAsia="仿宋_GB2312" w:cs="仿宋_GB2312"/>
          <w:sz w:val="32"/>
        </w:rPr>
        <w:t>有关</w:t>
      </w:r>
      <w:r>
        <w:rPr>
          <w:rFonts w:hint="eastAsia" w:ascii="仿宋_GB2312" w:hAnsi="仿宋_GB2312" w:eastAsia="仿宋_GB2312" w:cs="仿宋_GB2312"/>
          <w:sz w:val="32"/>
          <w:lang w:eastAsia="zh-CN"/>
        </w:rPr>
        <w:t>单位</w:t>
      </w:r>
      <w:r>
        <w:rPr>
          <w:rFonts w:hint="eastAsia" w:ascii="仿宋_GB2312" w:hAnsi="仿宋_GB2312" w:eastAsia="仿宋_GB2312" w:cs="仿宋_GB2312"/>
          <w:sz w:val="32"/>
        </w:rPr>
        <w:t>能够按照专项资金</w:t>
      </w:r>
      <w:r>
        <w:rPr>
          <w:rFonts w:hint="eastAsia" w:ascii="仿宋_GB2312" w:hAnsi="仿宋_GB2312" w:eastAsia="仿宋_GB2312" w:cs="仿宋_GB2312"/>
          <w:sz w:val="32"/>
          <w:lang w:val="en-US" w:eastAsia="zh-CN"/>
        </w:rPr>
        <w:t>相关</w:t>
      </w:r>
      <w:r>
        <w:rPr>
          <w:rFonts w:hint="eastAsia" w:ascii="仿宋_GB2312" w:hAnsi="仿宋_GB2312" w:eastAsia="仿宋_GB2312" w:cs="仿宋_GB2312"/>
          <w:sz w:val="32"/>
        </w:rPr>
        <w:t>管理制度规定，建立健全管理</w:t>
      </w:r>
      <w:r>
        <w:rPr>
          <w:rFonts w:hint="eastAsia" w:ascii="仿宋_GB2312" w:hAnsi="仿宋_GB2312" w:eastAsia="仿宋_GB2312" w:cs="仿宋_GB2312"/>
          <w:sz w:val="32"/>
          <w:lang w:val="en-US" w:eastAsia="zh-CN"/>
        </w:rPr>
        <w:t>机制</w:t>
      </w:r>
      <w:r>
        <w:rPr>
          <w:rFonts w:hint="eastAsia" w:ascii="仿宋_GB2312" w:hAnsi="仿宋_GB2312" w:eastAsia="仿宋_GB2312" w:cs="仿宋_GB2312"/>
          <w:sz w:val="32"/>
        </w:rPr>
        <w:t>，落实管理责任。</w:t>
      </w:r>
      <w:r>
        <w:rPr>
          <w:rFonts w:hint="eastAsia" w:ascii="仿宋_GB2312" w:hAnsi="仿宋_GB2312" w:eastAsia="仿宋_GB2312" w:cs="仿宋_GB2312"/>
          <w:b/>
          <w:bCs/>
          <w:sz w:val="32"/>
          <w:lang w:val="en-US" w:eastAsia="zh-CN"/>
        </w:rPr>
        <w:t>三是</w:t>
      </w:r>
      <w:r>
        <w:rPr>
          <w:rFonts w:hint="eastAsia" w:ascii="仿宋_GB2312" w:hAnsi="仿宋_GB2312" w:eastAsia="仿宋_GB2312" w:cs="仿宋_GB2312"/>
          <w:sz w:val="32"/>
          <w:lang w:val="en-US" w:eastAsia="zh-CN"/>
        </w:rPr>
        <w:t>前方工作队（组、小组）能够严格落实项目跟踪问效，实施项目全过程跟踪督导。</w:t>
      </w:r>
    </w:p>
    <w:p w14:paraId="7D163A53">
      <w:pPr>
        <w:keepNext w:val="0"/>
        <w:keepLines w:val="0"/>
        <w:pageBreakBefore w:val="0"/>
        <w:widowControl/>
        <w:suppressLineNumbers w:val="0"/>
        <w:kinsoku/>
        <w:wordWrap/>
        <w:overflowPunct/>
        <w:topLinePunct w:val="0"/>
        <w:autoSpaceDE/>
        <w:bidi w:val="0"/>
        <w:spacing w:line="360" w:lineRule="auto"/>
        <w:ind w:firstLine="643" w:firstLineChars="200"/>
        <w:jc w:val="left"/>
        <w:textAlignment w:val="auto"/>
        <w:rPr>
          <w:rFonts w:hint="eastAsia" w:ascii="仿宋_GB2312" w:hAnsi="仿宋_GB2312" w:eastAsia="仿宋_GB2312" w:cs="仿宋_GB2312"/>
          <w:sz w:val="32"/>
        </w:rPr>
      </w:pPr>
      <w:bookmarkStart w:id="17" w:name="_Toc14260"/>
      <w:r>
        <w:rPr>
          <w:rFonts w:hint="eastAsia" w:ascii="仿宋_GB2312" w:hAnsi="仿宋_GB2312" w:eastAsia="仿宋_GB2312" w:cs="仿宋_GB2312"/>
          <w:b/>
          <w:bCs/>
          <w:sz w:val="32"/>
          <w:lang w:val="en-US" w:eastAsia="zh-CN"/>
        </w:rPr>
        <w:t>3</w:t>
      </w:r>
      <w:r>
        <w:rPr>
          <w:rFonts w:hint="eastAsia" w:ascii="仿宋_GB2312" w:hAnsi="仿宋_GB2312" w:eastAsia="仿宋_GB2312" w:cs="仿宋_GB2312"/>
          <w:b/>
          <w:bCs/>
          <w:sz w:val="32"/>
        </w:rPr>
        <w:t>.产出</w:t>
      </w:r>
      <w:r>
        <w:rPr>
          <w:rFonts w:hint="eastAsia" w:ascii="仿宋_GB2312" w:hAnsi="仿宋_GB2312" w:eastAsia="仿宋_GB2312" w:cs="仿宋_GB2312"/>
          <w:b/>
          <w:bCs/>
          <w:sz w:val="32"/>
          <w:lang w:val="en-US" w:eastAsia="zh-CN"/>
        </w:rPr>
        <w:t>指标</w:t>
      </w:r>
      <w:r>
        <w:rPr>
          <w:rFonts w:hint="eastAsia" w:ascii="仿宋_GB2312" w:hAnsi="仿宋_GB2312" w:eastAsia="仿宋_GB2312" w:cs="仿宋_GB2312"/>
          <w:b/>
          <w:bCs/>
          <w:sz w:val="32"/>
        </w:rPr>
        <w:t>。</w:t>
      </w:r>
      <w:r>
        <w:rPr>
          <w:rFonts w:hint="eastAsia" w:ascii="仿宋_GB2312" w:hAnsi="仿宋_GB2312" w:eastAsia="仿宋_GB2312" w:cs="仿宋_GB2312"/>
          <w:sz w:val="32"/>
        </w:rPr>
        <w:t>该指标主要从</w:t>
      </w:r>
      <w:r>
        <w:rPr>
          <w:rFonts w:hint="eastAsia" w:ascii="仿宋_GB2312" w:hAnsi="仿宋_GB2312" w:eastAsia="仿宋_GB2312" w:cs="仿宋_GB2312"/>
          <w:sz w:val="32"/>
          <w:lang w:val="en-US" w:eastAsia="zh-CN"/>
        </w:rPr>
        <w:t>数量指标、质量指标和时效指标三</w:t>
      </w:r>
      <w:r>
        <w:rPr>
          <w:rFonts w:hint="eastAsia" w:ascii="仿宋_GB2312" w:hAnsi="仿宋_GB2312" w:eastAsia="仿宋_GB2312" w:cs="仿宋_GB2312"/>
          <w:sz w:val="32"/>
        </w:rPr>
        <w:t>个方面考核项目完成进度、质量和</w:t>
      </w:r>
      <w:r>
        <w:rPr>
          <w:rFonts w:hint="eastAsia" w:ascii="仿宋_GB2312" w:hAnsi="仿宋_GB2312" w:eastAsia="仿宋_GB2312" w:cs="仿宋_GB2312"/>
          <w:sz w:val="32"/>
          <w:lang w:val="en-US" w:eastAsia="zh-CN"/>
        </w:rPr>
        <w:t>时效性</w:t>
      </w:r>
      <w:r>
        <w:rPr>
          <w:rFonts w:hint="eastAsia" w:ascii="仿宋_GB2312" w:hAnsi="仿宋_GB2312" w:eastAsia="仿宋_GB2312" w:cs="仿宋_GB2312"/>
          <w:sz w:val="32"/>
        </w:rPr>
        <w:t>等情况。指标分值</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0分，</w:t>
      </w:r>
      <w:r>
        <w:rPr>
          <w:rFonts w:hint="eastAsia" w:ascii="仿宋_GB2312" w:hAnsi="仿宋_GB2312" w:eastAsia="仿宋_GB2312" w:cs="仿宋_GB2312"/>
          <w:sz w:val="32"/>
          <w:lang w:val="en-US" w:eastAsia="zh-CN"/>
        </w:rPr>
        <w:t>自评</w:t>
      </w:r>
      <w:r>
        <w:rPr>
          <w:rFonts w:hint="eastAsia" w:ascii="仿宋_GB2312" w:hAnsi="仿宋_GB2312" w:eastAsia="仿宋_GB2312" w:cs="仿宋_GB2312"/>
          <w:sz w:val="32"/>
        </w:rPr>
        <w:t>得分</w:t>
      </w:r>
      <w:r>
        <w:rPr>
          <w:rFonts w:hint="eastAsia" w:ascii="仿宋_GB2312" w:hAnsi="仿宋_GB2312" w:eastAsia="仿宋_GB2312" w:cs="仿宋_GB2312"/>
          <w:sz w:val="32"/>
          <w:lang w:val="en-US" w:eastAsia="zh-CN"/>
        </w:rPr>
        <w:t>39.5</w:t>
      </w:r>
      <w:r>
        <w:rPr>
          <w:rFonts w:hint="eastAsia" w:ascii="仿宋_GB2312" w:hAnsi="仿宋_GB2312" w:eastAsia="仿宋_GB2312" w:cs="仿宋_GB2312"/>
          <w:sz w:val="32"/>
        </w:rPr>
        <w:t>分，得分率为</w:t>
      </w:r>
      <w:r>
        <w:rPr>
          <w:rFonts w:hint="eastAsia" w:ascii="仿宋_GB2312" w:hAnsi="仿宋_GB2312" w:eastAsia="仿宋_GB2312" w:cs="仿宋_GB2312"/>
          <w:sz w:val="32"/>
          <w:lang w:val="en-US" w:eastAsia="zh-CN"/>
        </w:rPr>
        <w:t>98.75</w:t>
      </w:r>
      <w:r>
        <w:rPr>
          <w:rFonts w:hint="eastAsia" w:ascii="仿宋_GB2312" w:hAnsi="仿宋_GB2312" w:eastAsia="仿宋_GB2312" w:cs="仿宋_GB2312"/>
          <w:sz w:val="32"/>
        </w:rPr>
        <w:t>%。</w:t>
      </w:r>
      <w:bookmarkEnd w:id="17"/>
    </w:p>
    <w:p w14:paraId="7AD1571D">
      <w:pPr>
        <w:keepNext w:val="0"/>
        <w:keepLines w:val="0"/>
        <w:pageBreakBefore w:val="0"/>
        <w:kinsoku/>
        <w:wordWrap/>
        <w:overflowPunct/>
        <w:topLinePunct w:val="0"/>
        <w:autoSpaceDE/>
        <w:bidi w:val="0"/>
        <w:adjustRightInd/>
        <w:snapToGrid/>
        <w:spacing w:afterAutospacing="0" w:line="360" w:lineRule="auto"/>
        <w:ind w:right="0" w:rightChars="0" w:firstLine="643" w:firstLineChars="200"/>
        <w:jc w:val="both"/>
        <w:textAlignment w:val="auto"/>
        <w:outlineLvl w:val="9"/>
        <w:rPr>
          <w:rFonts w:hint="default" w:ascii="仿宋_GB2312" w:hAnsi="仿宋" w:eastAsia="仿宋_GB2312" w:cs="Times New Roman"/>
          <w:sz w:val="32"/>
          <w:lang w:val="en-US" w:eastAsia="zh-CN"/>
        </w:rPr>
      </w:pPr>
      <w:bookmarkStart w:id="18" w:name="_Toc524298192"/>
      <w:bookmarkStart w:id="19" w:name="_Toc11310"/>
      <w:bookmarkStart w:id="20" w:name="_Toc39921341"/>
      <w:bookmarkStart w:id="21" w:name="_Toc39323961"/>
      <w:bookmarkStart w:id="22" w:name="_Toc39324258"/>
      <w:bookmarkStart w:id="23" w:name="_Toc42021440"/>
      <w:bookmarkStart w:id="24" w:name="_Toc42020749"/>
      <w:bookmarkStart w:id="25" w:name="_Toc41334552"/>
      <w:r>
        <w:rPr>
          <w:rFonts w:hint="eastAsia" w:ascii="仿宋_GB2312" w:hAnsi="仿宋" w:eastAsia="仿宋_GB2312" w:cs="Times New Roman"/>
          <w:b/>
          <w:bCs/>
          <w:sz w:val="32"/>
        </w:rPr>
        <w:t>（</w:t>
      </w:r>
      <w:r>
        <w:rPr>
          <w:rFonts w:hint="eastAsia" w:ascii="仿宋_GB2312" w:hAnsi="仿宋" w:eastAsia="仿宋_GB2312" w:cs="Times New Roman"/>
          <w:b/>
          <w:bCs/>
          <w:sz w:val="32"/>
          <w:lang w:val="en-US" w:eastAsia="zh-CN"/>
        </w:rPr>
        <w:t>1</w:t>
      </w:r>
      <w:r>
        <w:rPr>
          <w:rFonts w:hint="eastAsia" w:ascii="仿宋_GB2312" w:hAnsi="仿宋" w:eastAsia="仿宋_GB2312" w:cs="Times New Roman"/>
          <w:b/>
          <w:bCs/>
          <w:sz w:val="32"/>
        </w:rPr>
        <w:t>）</w:t>
      </w:r>
      <w:r>
        <w:rPr>
          <w:rFonts w:hint="eastAsia" w:ascii="仿宋_GB2312" w:hAnsi="仿宋" w:eastAsia="仿宋_GB2312" w:cs="Times New Roman"/>
          <w:b/>
          <w:bCs/>
          <w:sz w:val="32"/>
          <w:lang w:val="en-US" w:eastAsia="zh-CN"/>
        </w:rPr>
        <w:t>数量指标</w:t>
      </w:r>
      <w:r>
        <w:rPr>
          <w:rFonts w:hint="eastAsia" w:ascii="仿宋_GB2312" w:hAnsi="仿宋" w:eastAsia="仿宋_GB2312" w:cs="Times New Roman"/>
          <w:b/>
          <w:bCs/>
          <w:sz w:val="32"/>
        </w:rPr>
        <w:t>。</w:t>
      </w:r>
      <w:bookmarkEnd w:id="18"/>
      <w:bookmarkStart w:id="26" w:name="_Hlk41331806"/>
      <w:r>
        <w:rPr>
          <w:rFonts w:hint="eastAsia" w:ascii="仿宋_GB2312" w:hAnsi="仿宋" w:eastAsia="仿宋_GB2312" w:cs="Times New Roman"/>
          <w:sz w:val="32"/>
        </w:rPr>
        <w:t>该指标分值</w:t>
      </w:r>
      <w:r>
        <w:rPr>
          <w:rFonts w:hint="eastAsia" w:ascii="仿宋_GB2312" w:hAnsi="仿宋" w:eastAsia="仿宋_GB2312" w:cs="Times New Roman"/>
          <w:sz w:val="32"/>
          <w:lang w:val="en-US" w:eastAsia="zh-CN"/>
        </w:rPr>
        <w:t>10</w:t>
      </w:r>
      <w:r>
        <w:rPr>
          <w:rFonts w:hint="eastAsia" w:ascii="仿宋_GB2312" w:hAnsi="仿宋" w:eastAsia="仿宋_GB2312" w:cs="Times New Roman"/>
          <w:sz w:val="32"/>
        </w:rPr>
        <w:t>分，</w:t>
      </w:r>
      <w:r>
        <w:rPr>
          <w:rFonts w:hint="eastAsia" w:ascii="仿宋_GB2312" w:hAnsi="仿宋" w:eastAsia="仿宋_GB2312" w:cs="Times New Roman"/>
          <w:sz w:val="32"/>
          <w:lang w:val="en-US" w:eastAsia="zh-CN"/>
        </w:rPr>
        <w:t>自评</w:t>
      </w:r>
      <w:r>
        <w:rPr>
          <w:rFonts w:hint="eastAsia" w:ascii="仿宋_GB2312" w:hAnsi="仿宋" w:eastAsia="仿宋_GB2312" w:cs="Times New Roman"/>
          <w:sz w:val="32"/>
        </w:rPr>
        <w:t>得分</w:t>
      </w:r>
      <w:r>
        <w:rPr>
          <w:rFonts w:hint="eastAsia" w:ascii="仿宋_GB2312" w:hAnsi="仿宋" w:eastAsia="仿宋_GB2312" w:cs="Times New Roman"/>
          <w:sz w:val="32"/>
          <w:lang w:val="en-US" w:eastAsia="zh-CN"/>
        </w:rPr>
        <w:t>10</w:t>
      </w:r>
      <w:r>
        <w:rPr>
          <w:rFonts w:hint="eastAsia" w:ascii="仿宋_GB2312" w:hAnsi="仿宋" w:eastAsia="仿宋_GB2312" w:cs="Times New Roman"/>
          <w:sz w:val="32"/>
        </w:rPr>
        <w:t>分，得分率为100%。</w:t>
      </w:r>
      <w:bookmarkEnd w:id="19"/>
      <w:bookmarkEnd w:id="20"/>
      <w:bookmarkEnd w:id="21"/>
      <w:bookmarkEnd w:id="22"/>
      <w:bookmarkEnd w:id="23"/>
      <w:bookmarkEnd w:id="24"/>
      <w:bookmarkEnd w:id="25"/>
      <w:bookmarkEnd w:id="26"/>
      <w:r>
        <w:rPr>
          <w:rFonts w:hint="eastAsia" w:ascii="仿宋_GB2312" w:hAnsi="仿宋" w:eastAsia="仿宋_GB2312" w:cs="Times New Roman"/>
          <w:b/>
          <w:bCs/>
          <w:sz w:val="32"/>
          <w:lang w:val="en-US" w:eastAsia="zh-CN"/>
        </w:rPr>
        <w:t>一是</w:t>
      </w:r>
      <w:r>
        <w:rPr>
          <w:rFonts w:hint="eastAsia" w:ascii="仿宋_GB2312" w:hAnsi="仿宋" w:eastAsia="仿宋_GB2312" w:cs="Times New Roman"/>
          <w:b w:val="0"/>
          <w:bCs w:val="0"/>
          <w:sz w:val="32"/>
          <w:lang w:val="en-US" w:eastAsia="zh-CN"/>
        </w:rPr>
        <w:t>助力广西、贵州16</w:t>
      </w:r>
      <w:r>
        <w:rPr>
          <w:rFonts w:hint="eastAsia" w:ascii="仿宋_GB2312" w:hAnsi="仿宋_GB2312" w:eastAsia="仿宋_GB2312" w:cs="仿宋_GB2312"/>
          <w:b w:val="0"/>
          <w:bCs w:val="0"/>
          <w:kern w:val="2"/>
          <w:sz w:val="32"/>
          <w:szCs w:val="32"/>
          <w:lang w:val="en-US" w:eastAsia="zh-CN" w:bidi="ar-SA"/>
        </w:rPr>
        <w:t>个</w:t>
      </w:r>
      <w:r>
        <w:rPr>
          <w:rFonts w:hint="eastAsia" w:ascii="仿宋_GB2312" w:hAnsi="仿宋_GB2312" w:eastAsia="仿宋_GB2312" w:cs="仿宋_GB2312"/>
          <w:b w:val="0"/>
          <w:kern w:val="2"/>
          <w:sz w:val="32"/>
          <w:szCs w:val="32"/>
          <w:lang w:val="en-US" w:eastAsia="zh-CN"/>
        </w:rPr>
        <w:t>脱贫</w:t>
      </w:r>
      <w:r>
        <w:rPr>
          <w:rFonts w:hint="eastAsia" w:ascii="仿宋_GB2312" w:hAnsi="仿宋" w:eastAsia="仿宋_GB2312" w:cs="Times New Roman"/>
          <w:b w:val="0"/>
          <w:bCs w:val="0"/>
          <w:sz w:val="32"/>
          <w:lang w:val="en-US" w:eastAsia="zh-CN"/>
        </w:rPr>
        <w:t>县巩固拓展脱贫攻坚成果同乡村振兴有效衔接。</w:t>
      </w:r>
      <w:r>
        <w:rPr>
          <w:rFonts w:hint="eastAsia" w:ascii="仿宋_GB2312" w:hAnsi="仿宋" w:eastAsia="仿宋_GB2312" w:cs="Times New Roman"/>
          <w:sz w:val="32"/>
          <w:lang w:val="en-US" w:eastAsia="zh-CN"/>
        </w:rPr>
        <w:t>该指标2分，自评得分2分，得分率100%。当年财政援助资金8.16亿元已按规定足额拨付到位，协作各项任务均超额完成，协作帮扶成效显著。</w:t>
      </w:r>
      <w:r>
        <w:rPr>
          <w:rFonts w:hint="eastAsia" w:ascii="仿宋_GB2312" w:hAnsi="仿宋" w:eastAsia="仿宋_GB2312" w:cs="Times New Roman"/>
          <w:b/>
          <w:bCs/>
          <w:sz w:val="32"/>
          <w:lang w:val="en-US" w:eastAsia="zh-CN"/>
        </w:rPr>
        <w:t>二是</w:t>
      </w:r>
      <w:r>
        <w:rPr>
          <w:rFonts w:hint="eastAsia" w:ascii="仿宋_GB2312" w:hAnsi="仿宋" w:eastAsia="仿宋_GB2312" w:cs="Times New Roman"/>
          <w:b w:val="0"/>
          <w:bCs w:val="0"/>
          <w:sz w:val="32"/>
          <w:lang w:val="en-US" w:eastAsia="zh-CN"/>
        </w:rPr>
        <w:t>省级</w:t>
      </w:r>
      <w:r>
        <w:rPr>
          <w:rFonts w:hint="eastAsia" w:ascii="仿宋_GB2312" w:hAnsi="仿宋" w:eastAsia="仿宋_GB2312" w:cs="Times New Roman"/>
          <w:sz w:val="32"/>
          <w:lang w:val="en-US" w:eastAsia="zh-CN"/>
        </w:rPr>
        <w:t>财政援助资金用于产业达5.26亿元，占财政投入资金8.16亿元的64.55%。该指标2分，自评得分2分，得分率100%。</w:t>
      </w:r>
      <w:r>
        <w:rPr>
          <w:rFonts w:hint="eastAsia" w:ascii="仿宋_GB2312" w:hAnsi="仿宋" w:eastAsia="仿宋_GB2312" w:cs="Times New Roman"/>
          <w:b/>
          <w:bCs/>
          <w:sz w:val="32"/>
          <w:lang w:val="en-US" w:eastAsia="zh-CN"/>
        </w:rPr>
        <w:t>三</w:t>
      </w:r>
      <w:r>
        <w:rPr>
          <w:rFonts w:hint="eastAsia" w:ascii="仿宋_GB2312" w:hAnsi="仿宋" w:eastAsia="仿宋_GB2312" w:cs="Times New Roman"/>
          <w:b/>
          <w:bCs/>
          <w:sz w:val="32"/>
        </w:rPr>
        <w:t>是</w:t>
      </w:r>
      <w:r>
        <w:rPr>
          <w:rFonts w:hint="eastAsia" w:ascii="仿宋_GB2312" w:hAnsi="仿宋" w:eastAsia="仿宋_GB2312" w:cs="Times New Roman"/>
          <w:sz w:val="32"/>
          <w:lang w:val="en-US" w:eastAsia="zh-CN"/>
        </w:rPr>
        <w:t>年度东西部协作协议任务均超额完成。一年来，广东向广西、贵州拨付财政援助资金52.58亿元，完成协议数的104.14%；选派329名党政干部、3480名专业技术人才驻县帮扶，分别完成协议数的133.74%、383.26%；接收广西、贵州564名党政干部、4552名专业技术人才来粤交流，分别完成协议数的283.42%、485.81%；引导1151家企业赴协作当地投资兴业，实际到位投资461.33亿元，实施产业项目1136个，分别完成协议数的575.5%、461.33%、568%；帮助采购农副产品和特色手工艺产品442.29亿元，完成协议数的737.15%；新增帮助41.45万名农村劳动力就业，其中脱贫劳动力28.3万名，分别完成协议数的733.63%、1905.73%。该指标16分，自评得分16分，得分率100%。</w:t>
      </w:r>
    </w:p>
    <w:p w14:paraId="12D08503">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仿宋_GB2312" w:hAnsi="仿宋_GB2312" w:eastAsia="仿宋_GB2312" w:cs="仿宋_GB2312"/>
          <w:kern w:val="0"/>
          <w:sz w:val="32"/>
          <w:szCs w:val="32"/>
          <w:highlight w:val="none"/>
          <w:shd w:val="clear" w:color="auto" w:fill="FFFFFF"/>
          <w:lang w:val="en-US" w:eastAsia="zh-CN"/>
        </w:rPr>
      </w:pPr>
      <w:r>
        <w:rPr>
          <w:rFonts w:hint="eastAsia" w:ascii="仿宋_GB2312" w:hAnsi="仿宋" w:eastAsia="仿宋_GB2312" w:cs="Times New Roman"/>
          <w:b/>
          <w:bCs/>
          <w:sz w:val="32"/>
          <w:highlight w:val="none"/>
          <w:lang w:val="zh-TW" w:eastAsia="zh-CN"/>
        </w:rPr>
        <w:t>（</w:t>
      </w:r>
      <w:r>
        <w:rPr>
          <w:rFonts w:hint="eastAsia" w:ascii="仿宋_GB2312" w:hAnsi="仿宋" w:eastAsia="仿宋_GB2312" w:cs="Times New Roman"/>
          <w:b/>
          <w:bCs/>
          <w:sz w:val="32"/>
          <w:highlight w:val="none"/>
          <w:lang w:val="en-US" w:eastAsia="zh-CN"/>
        </w:rPr>
        <w:t>2</w:t>
      </w:r>
      <w:r>
        <w:rPr>
          <w:rFonts w:hint="eastAsia" w:ascii="仿宋_GB2312" w:hAnsi="仿宋" w:eastAsia="仿宋_GB2312" w:cs="Times New Roman"/>
          <w:b/>
          <w:bCs/>
          <w:sz w:val="32"/>
          <w:highlight w:val="none"/>
          <w:lang w:val="zh-TW" w:eastAsia="zh-CN"/>
        </w:rPr>
        <w:t>）</w:t>
      </w:r>
      <w:r>
        <w:rPr>
          <w:rFonts w:hint="eastAsia" w:ascii="仿宋_GB2312" w:hAnsi="仿宋" w:eastAsia="仿宋_GB2312" w:cs="Times New Roman"/>
          <w:b/>
          <w:bCs/>
          <w:sz w:val="32"/>
          <w:highlight w:val="none"/>
          <w:lang w:val="zh-TW"/>
        </w:rPr>
        <w:t>质量</w:t>
      </w:r>
      <w:r>
        <w:rPr>
          <w:rFonts w:hint="eastAsia" w:ascii="仿宋_GB2312" w:hAnsi="仿宋" w:eastAsia="仿宋_GB2312" w:cs="Times New Roman"/>
          <w:b/>
          <w:bCs/>
          <w:sz w:val="32"/>
          <w:highlight w:val="none"/>
          <w:lang w:val="en-US" w:eastAsia="zh-CN"/>
        </w:rPr>
        <w:t>指标</w:t>
      </w:r>
      <w:r>
        <w:rPr>
          <w:rFonts w:hint="eastAsia" w:ascii="仿宋_GB2312" w:hAnsi="仿宋" w:eastAsia="仿宋_GB2312" w:cs="Times New Roman"/>
          <w:b/>
          <w:bCs/>
          <w:sz w:val="32"/>
          <w:highlight w:val="none"/>
          <w:lang w:val="zh-TW"/>
        </w:rPr>
        <w:t>。</w:t>
      </w:r>
      <w:r>
        <w:rPr>
          <w:rFonts w:hint="eastAsia" w:ascii="仿宋_GB2312" w:hAnsi="仿宋" w:eastAsia="仿宋_GB2312" w:cs="Times New Roman"/>
          <w:sz w:val="32"/>
          <w:lang w:val="en-US" w:eastAsia="zh-CN"/>
        </w:rPr>
        <w:t>该指标10分，自评得分9.5分。东西部协作工作考核评价等级评定，该成绩通报暂未下发，但考核评价组和国家有关部门均给予了充分肯定，位列综合评价“好”的等次，持续走在全国前列。扣分项为国家考核评价组考评指出，我省动员社会力量参与帮扶的实际举措偏少。</w:t>
      </w:r>
      <w:bookmarkStart w:id="27" w:name="_Toc9838"/>
    </w:p>
    <w:p w14:paraId="310D5C0A">
      <w:pPr>
        <w:keepNext w:val="0"/>
        <w:keepLines w:val="0"/>
        <w:pageBreakBefore w:val="0"/>
        <w:kinsoku/>
        <w:wordWrap/>
        <w:overflowPunct/>
        <w:topLinePunct w:val="0"/>
        <w:autoSpaceDE/>
        <w:bidi w:val="0"/>
        <w:adjustRightInd/>
        <w:snapToGrid/>
        <w:spacing w:afterAutospacing="0" w:line="360" w:lineRule="auto"/>
        <w:ind w:right="0" w:rightChars="0" w:firstLine="643" w:firstLineChars="200"/>
        <w:jc w:val="both"/>
        <w:textAlignment w:val="auto"/>
        <w:outlineLvl w:val="9"/>
        <w:rPr>
          <w:rFonts w:hint="eastAsia" w:ascii="仿宋_GB2312" w:eastAsia="仿宋_GB2312"/>
          <w:sz w:val="32"/>
          <w:szCs w:val="32"/>
        </w:rPr>
      </w:pPr>
      <w:r>
        <w:rPr>
          <w:rFonts w:hint="eastAsia" w:ascii="仿宋_GB2312" w:hAnsi="仿宋" w:eastAsia="仿宋_GB2312" w:cs="Times New Roman"/>
          <w:b/>
          <w:bCs/>
          <w:kern w:val="2"/>
          <w:sz w:val="32"/>
          <w:szCs w:val="22"/>
          <w:lang w:val="en-US" w:eastAsia="zh-CN" w:bidi="ar-SA"/>
        </w:rPr>
        <w:t>（3）时效指标。</w:t>
      </w:r>
      <w:r>
        <w:rPr>
          <w:rFonts w:hint="eastAsia" w:ascii="仿宋_GB2312" w:hAnsi="仿宋" w:eastAsia="仿宋_GB2312" w:cs="Times New Roman"/>
          <w:sz w:val="32"/>
          <w:lang w:val="en-US" w:eastAsia="zh-CN"/>
        </w:rPr>
        <w:t>该指标5分，自评得分5分。省级财政援助资金到位时间均</w:t>
      </w:r>
      <w:r>
        <w:rPr>
          <w:rFonts w:hint="eastAsia" w:ascii="仿宋_GB2312" w:eastAsia="仿宋_GB2312"/>
          <w:sz w:val="32"/>
          <w:szCs w:val="32"/>
          <w:lang w:val="en-US" w:eastAsia="zh-CN"/>
        </w:rPr>
        <w:t>落实中央“在当年3月底前将资金拨付到位”的要求，2023年东西部协作财政援助资金、工作和补助费及“组团式”帮扶经费均及时足额划拨到位</w:t>
      </w:r>
      <w:r>
        <w:rPr>
          <w:rFonts w:hint="eastAsia" w:ascii="仿宋_GB2312" w:eastAsia="仿宋_GB2312"/>
          <w:sz w:val="32"/>
          <w:szCs w:val="32"/>
        </w:rPr>
        <w:t>。</w:t>
      </w:r>
    </w:p>
    <w:p w14:paraId="4DEC5E58">
      <w:pPr>
        <w:keepNext w:val="0"/>
        <w:keepLines w:val="0"/>
        <w:pageBreakBefore w:val="0"/>
        <w:kinsoku/>
        <w:wordWrap/>
        <w:overflowPunct/>
        <w:topLinePunct w:val="0"/>
        <w:autoSpaceDE/>
        <w:bidi w:val="0"/>
        <w:adjustRightInd/>
        <w:snapToGrid/>
        <w:spacing w:afterAutospacing="0" w:line="360" w:lineRule="auto"/>
        <w:ind w:right="0" w:rightChars="0" w:firstLine="643" w:firstLineChars="200"/>
        <w:jc w:val="both"/>
        <w:textAlignment w:val="auto"/>
        <w:outlineLvl w:val="9"/>
        <w:rPr>
          <w:rFonts w:hint="default" w:eastAsia="仿宋_GB2312"/>
          <w:lang w:val="en-US" w:eastAsia="zh-CN"/>
        </w:rPr>
      </w:pPr>
      <w:r>
        <w:rPr>
          <w:rFonts w:hint="eastAsia" w:ascii="仿宋_GB2312" w:hAnsi="仿宋" w:eastAsia="仿宋_GB2312" w:cs="Times New Roman"/>
          <w:b/>
          <w:bCs/>
          <w:kern w:val="2"/>
          <w:sz w:val="32"/>
          <w:szCs w:val="22"/>
          <w:lang w:val="en-US" w:eastAsia="zh-CN" w:bidi="ar-SA"/>
        </w:rPr>
        <w:t>（4）成本指标。</w:t>
      </w:r>
      <w:r>
        <w:rPr>
          <w:rFonts w:hint="eastAsia" w:ascii="仿宋_GB2312" w:hAnsi="仿宋" w:eastAsia="仿宋_GB2312" w:cs="Times New Roman"/>
          <w:sz w:val="32"/>
          <w:lang w:val="en-US" w:eastAsia="zh-CN"/>
        </w:rPr>
        <w:t>该指标5分，自评得分5分。据统计，2023年财政援助资金均按计划数全额拨付到位，财政投入比重达100%。</w:t>
      </w:r>
    </w:p>
    <w:p w14:paraId="3A0A3F4C">
      <w:pPr>
        <w:keepNext w:val="0"/>
        <w:keepLines w:val="0"/>
        <w:pageBreakBefore w:val="0"/>
        <w:kinsoku/>
        <w:wordWrap/>
        <w:overflowPunct/>
        <w:topLinePunct w:val="0"/>
        <w:autoSpaceDE/>
        <w:bidi w:val="0"/>
        <w:adjustRightInd/>
        <w:snapToGrid/>
        <w:spacing w:afterAutospacing="0" w:line="360" w:lineRule="auto"/>
        <w:ind w:right="0" w:rightChars="0" w:firstLine="643" w:firstLineChars="200"/>
        <w:jc w:val="both"/>
        <w:textAlignment w:val="auto"/>
        <w:outlineLvl w:val="9"/>
        <w:rPr>
          <w:rFonts w:ascii="仿宋_GB2312" w:hAnsi="仿宋" w:eastAsia="仿宋_GB2312" w:cs="Times New Roman"/>
          <w:sz w:val="32"/>
          <w:lang w:val="zh-TW"/>
        </w:rPr>
      </w:pPr>
      <w:r>
        <w:rPr>
          <w:rFonts w:hint="eastAsia" w:ascii="仿宋_GB2312" w:hAnsi="仿宋" w:eastAsia="仿宋_GB2312" w:cs="Times New Roman"/>
          <w:b/>
          <w:bCs/>
          <w:sz w:val="32"/>
          <w:lang w:val="en-US" w:eastAsia="zh-CN"/>
        </w:rPr>
        <w:t>4</w:t>
      </w:r>
      <w:r>
        <w:rPr>
          <w:rFonts w:hint="eastAsia" w:ascii="仿宋_GB2312" w:hAnsi="仿宋" w:eastAsia="仿宋_GB2312" w:cs="Times New Roman"/>
          <w:b/>
          <w:bCs/>
          <w:sz w:val="32"/>
          <w:lang w:val="zh-TW"/>
        </w:rPr>
        <w:t>.效益</w:t>
      </w:r>
      <w:r>
        <w:rPr>
          <w:rFonts w:hint="eastAsia" w:ascii="仿宋_GB2312" w:hAnsi="仿宋" w:eastAsia="仿宋_GB2312" w:cs="Times New Roman"/>
          <w:b/>
          <w:bCs/>
          <w:sz w:val="32"/>
          <w:lang w:val="en-US" w:eastAsia="zh-CN"/>
        </w:rPr>
        <w:t>指标</w:t>
      </w:r>
      <w:r>
        <w:rPr>
          <w:rFonts w:hint="eastAsia" w:ascii="仿宋_GB2312" w:hAnsi="仿宋" w:eastAsia="仿宋_GB2312" w:cs="Times New Roman"/>
          <w:b/>
          <w:bCs/>
          <w:sz w:val="32"/>
          <w:lang w:val="zh-TW"/>
        </w:rPr>
        <w:t>。</w:t>
      </w:r>
      <w:r>
        <w:rPr>
          <w:rFonts w:hint="eastAsia" w:ascii="仿宋_GB2312" w:hAnsi="仿宋" w:eastAsia="仿宋_GB2312" w:cs="Times New Roman"/>
          <w:sz w:val="32"/>
          <w:lang w:val="zh-TW"/>
        </w:rPr>
        <w:t>该指标主要从产生的经济效益、社会效益、可持续发展和服务对象满意度</w:t>
      </w:r>
      <w:r>
        <w:rPr>
          <w:rFonts w:hint="eastAsia" w:ascii="仿宋_GB2312" w:hAnsi="仿宋" w:eastAsia="仿宋_GB2312" w:cs="Times New Roman"/>
          <w:sz w:val="32"/>
          <w:lang w:val="en-US" w:eastAsia="zh-CN"/>
        </w:rPr>
        <w:t>四个方面考核</w:t>
      </w:r>
      <w:r>
        <w:rPr>
          <w:rFonts w:hint="eastAsia" w:ascii="仿宋_GB2312" w:hAnsi="仿宋" w:eastAsia="仿宋_GB2312" w:cs="Times New Roman"/>
          <w:sz w:val="32"/>
          <w:lang w:val="zh-TW"/>
        </w:rPr>
        <w:t>。指标分值</w:t>
      </w:r>
      <w:r>
        <w:rPr>
          <w:rFonts w:hint="eastAsia" w:ascii="仿宋_GB2312" w:hAnsi="仿宋" w:eastAsia="仿宋_GB2312" w:cs="Times New Roman"/>
          <w:sz w:val="32"/>
          <w:lang w:val="en-US" w:eastAsia="zh-CN"/>
        </w:rPr>
        <w:t>2</w:t>
      </w:r>
      <w:r>
        <w:rPr>
          <w:rFonts w:hint="eastAsia" w:ascii="仿宋_GB2312" w:hAnsi="仿宋" w:eastAsia="仿宋_GB2312" w:cs="Times New Roman"/>
          <w:sz w:val="32"/>
          <w:lang w:val="zh-TW"/>
        </w:rPr>
        <w:t>0分，</w:t>
      </w:r>
      <w:r>
        <w:rPr>
          <w:rFonts w:hint="eastAsia" w:ascii="仿宋_GB2312" w:hAnsi="仿宋" w:eastAsia="仿宋_GB2312" w:cs="Times New Roman"/>
          <w:sz w:val="32"/>
          <w:lang w:val="en-US" w:eastAsia="zh-CN"/>
        </w:rPr>
        <w:t>自评</w:t>
      </w:r>
      <w:r>
        <w:rPr>
          <w:rFonts w:hint="eastAsia" w:ascii="仿宋_GB2312" w:hAnsi="仿宋" w:eastAsia="仿宋_GB2312" w:cs="Times New Roman"/>
          <w:sz w:val="32"/>
          <w:lang w:val="zh-TW"/>
        </w:rPr>
        <w:t>得分</w:t>
      </w:r>
      <w:r>
        <w:rPr>
          <w:rFonts w:hint="eastAsia" w:ascii="仿宋_GB2312" w:hAnsi="仿宋" w:eastAsia="仿宋_GB2312" w:cs="Times New Roman"/>
          <w:sz w:val="32"/>
          <w:lang w:val="en-US" w:eastAsia="zh-CN"/>
        </w:rPr>
        <w:t>20</w:t>
      </w:r>
      <w:r>
        <w:rPr>
          <w:rFonts w:hint="eastAsia" w:ascii="仿宋_GB2312" w:hAnsi="仿宋" w:eastAsia="仿宋_GB2312" w:cs="Times New Roman"/>
          <w:sz w:val="32"/>
          <w:lang w:val="zh-TW"/>
        </w:rPr>
        <w:t>分，得分率为</w:t>
      </w:r>
      <w:r>
        <w:rPr>
          <w:rFonts w:hint="eastAsia" w:ascii="仿宋_GB2312" w:hAnsi="仿宋" w:eastAsia="仿宋_GB2312" w:cs="Times New Roman"/>
          <w:sz w:val="32"/>
          <w:lang w:val="en-US" w:eastAsia="zh-CN"/>
        </w:rPr>
        <w:t>100</w:t>
      </w:r>
      <w:r>
        <w:rPr>
          <w:rFonts w:hint="eastAsia" w:ascii="仿宋_GB2312" w:hAnsi="仿宋" w:eastAsia="仿宋_GB2312" w:cs="Times New Roman"/>
          <w:sz w:val="32"/>
          <w:lang w:val="zh-TW"/>
        </w:rPr>
        <w:t>%。</w:t>
      </w:r>
      <w:bookmarkEnd w:id="27"/>
    </w:p>
    <w:p w14:paraId="1B9B0613">
      <w:pPr>
        <w:keepNext w:val="0"/>
        <w:keepLines w:val="0"/>
        <w:pageBreakBefore w:val="0"/>
        <w:kinsoku/>
        <w:wordWrap/>
        <w:overflowPunct/>
        <w:topLinePunct w:val="0"/>
        <w:autoSpaceDE/>
        <w:bidi w:val="0"/>
        <w:adjustRightInd/>
        <w:snapToGrid/>
        <w:spacing w:afterAutospacing="0" w:line="360" w:lineRule="auto"/>
        <w:ind w:right="0" w:rightChars="0" w:firstLine="643" w:firstLineChars="200"/>
        <w:jc w:val="both"/>
        <w:textAlignment w:val="auto"/>
        <w:outlineLvl w:val="9"/>
        <w:rPr>
          <w:rFonts w:hint="eastAsia" w:ascii="仿宋_GB2312" w:hAnsi="仿宋" w:eastAsia="仿宋_GB2312" w:cs="Times New Roman"/>
          <w:sz w:val="32"/>
          <w:lang w:val="en-US" w:eastAsia="zh-CN"/>
        </w:rPr>
      </w:pPr>
      <w:bookmarkStart w:id="28" w:name="_Toc42020751"/>
      <w:bookmarkStart w:id="29" w:name="_Toc42021442"/>
      <w:bookmarkStart w:id="30" w:name="_Toc39324262"/>
      <w:bookmarkStart w:id="31" w:name="_Toc41334553"/>
      <w:bookmarkStart w:id="32" w:name="_Toc9006"/>
      <w:bookmarkStart w:id="33" w:name="_Toc39323965"/>
      <w:bookmarkStart w:id="34" w:name="_Toc39921345"/>
      <w:r>
        <w:rPr>
          <w:rFonts w:hint="eastAsia" w:ascii="仿宋_GB2312" w:hAnsi="仿宋" w:eastAsia="仿宋_GB2312" w:cs="Times New Roman"/>
          <w:b/>
          <w:bCs/>
          <w:sz w:val="32"/>
          <w:lang w:val="zh-TW"/>
        </w:rPr>
        <w:t>（1）</w:t>
      </w:r>
      <w:bookmarkEnd w:id="28"/>
      <w:bookmarkEnd w:id="29"/>
      <w:bookmarkEnd w:id="30"/>
      <w:bookmarkEnd w:id="31"/>
      <w:bookmarkEnd w:id="32"/>
      <w:bookmarkEnd w:id="33"/>
      <w:bookmarkEnd w:id="34"/>
      <w:r>
        <w:rPr>
          <w:rFonts w:hint="eastAsia" w:ascii="仿宋_GB2312" w:hAnsi="仿宋" w:eastAsia="仿宋_GB2312" w:cs="Times New Roman"/>
          <w:b/>
          <w:bCs/>
          <w:sz w:val="32"/>
          <w:lang w:val="zh-TW"/>
        </w:rPr>
        <w:t>经济效益</w:t>
      </w:r>
      <w:r>
        <w:rPr>
          <w:rFonts w:hint="eastAsia" w:ascii="仿宋_GB2312" w:hAnsi="仿宋" w:eastAsia="仿宋_GB2312" w:cs="Times New Roman"/>
          <w:b/>
          <w:bCs/>
          <w:sz w:val="32"/>
          <w:lang w:val="en-US" w:eastAsia="zh-CN"/>
        </w:rPr>
        <w:t>指标</w:t>
      </w:r>
      <w:r>
        <w:rPr>
          <w:rFonts w:hint="eastAsia" w:ascii="仿宋_GB2312" w:hAnsi="仿宋" w:eastAsia="仿宋_GB2312" w:cs="Times New Roman"/>
          <w:b/>
          <w:bCs/>
          <w:sz w:val="32"/>
          <w:lang w:val="zh-TW"/>
        </w:rPr>
        <w:t>。</w:t>
      </w:r>
      <w:r>
        <w:rPr>
          <w:rFonts w:hint="eastAsia" w:ascii="仿宋_GB2312" w:hAnsi="仿宋" w:eastAsia="仿宋_GB2312" w:cs="Times New Roman"/>
          <w:sz w:val="32"/>
          <w:lang w:val="zh-TW"/>
        </w:rPr>
        <w:t>该指标分值</w:t>
      </w:r>
      <w:r>
        <w:rPr>
          <w:rFonts w:hint="eastAsia" w:ascii="仿宋_GB2312" w:hAnsi="仿宋" w:eastAsia="仿宋_GB2312" w:cs="Times New Roman"/>
          <w:sz w:val="32"/>
          <w:lang w:val="en-US" w:eastAsia="zh-CN"/>
        </w:rPr>
        <w:t>5</w:t>
      </w:r>
      <w:r>
        <w:rPr>
          <w:rFonts w:hint="eastAsia" w:ascii="仿宋_GB2312" w:hAnsi="仿宋" w:eastAsia="仿宋_GB2312" w:cs="Times New Roman"/>
          <w:sz w:val="32"/>
          <w:lang w:val="zh-TW"/>
        </w:rPr>
        <w:t>分，</w:t>
      </w:r>
      <w:r>
        <w:rPr>
          <w:rFonts w:hint="eastAsia" w:ascii="仿宋_GB2312" w:hAnsi="仿宋" w:eastAsia="仿宋_GB2312" w:cs="Times New Roman"/>
          <w:sz w:val="32"/>
          <w:lang w:val="en-US" w:eastAsia="zh-CN"/>
        </w:rPr>
        <w:t>自评得分5</w:t>
      </w:r>
      <w:r>
        <w:rPr>
          <w:rFonts w:hint="eastAsia" w:ascii="仿宋_GB2312" w:hAnsi="仿宋" w:eastAsia="仿宋_GB2312" w:cs="Times New Roman"/>
          <w:sz w:val="32"/>
          <w:lang w:val="zh-TW"/>
        </w:rPr>
        <w:t>分，得分率为</w:t>
      </w:r>
      <w:r>
        <w:rPr>
          <w:rFonts w:hint="eastAsia" w:ascii="仿宋_GB2312" w:hAnsi="仿宋" w:eastAsia="仿宋_GB2312" w:cs="Times New Roman"/>
          <w:sz w:val="32"/>
          <w:lang w:val="en-US" w:eastAsia="zh-CN"/>
        </w:rPr>
        <w:t>100</w:t>
      </w:r>
      <w:r>
        <w:rPr>
          <w:rFonts w:hint="eastAsia" w:ascii="仿宋_GB2312" w:hAnsi="仿宋" w:eastAsia="仿宋_GB2312" w:cs="Times New Roman"/>
          <w:sz w:val="32"/>
          <w:lang w:val="zh-TW"/>
        </w:rPr>
        <w:t>%。</w:t>
      </w:r>
      <w:r>
        <w:rPr>
          <w:rFonts w:hint="eastAsia" w:ascii="仿宋_GB2312" w:hAnsi="仿宋" w:eastAsia="仿宋_GB2312" w:cs="Times New Roman"/>
          <w:sz w:val="32"/>
          <w:lang w:val="en-US" w:eastAsia="zh-CN"/>
        </w:rPr>
        <w:t>通过协作双方的持续努力，协作地区巩固拓展脱贫攻坚成果同乡村振兴有效衔接成效显著，协作当地内生发展动力持续增强，产业发展不断健全完善，农村劳动力持续增加收入，卫生健康、教育等条件持续向好。</w:t>
      </w:r>
    </w:p>
    <w:p w14:paraId="074061AC">
      <w:pPr>
        <w:keepNext w:val="0"/>
        <w:keepLines w:val="0"/>
        <w:pageBreakBefore w:val="0"/>
        <w:kinsoku/>
        <w:wordWrap/>
        <w:overflowPunct/>
        <w:topLinePunct w:val="0"/>
        <w:autoSpaceDE/>
        <w:bidi w:val="0"/>
        <w:adjustRightInd/>
        <w:snapToGrid/>
        <w:spacing w:afterAutospacing="0" w:line="360" w:lineRule="auto"/>
        <w:ind w:right="0" w:rightChars="0" w:firstLine="643" w:firstLineChars="200"/>
        <w:jc w:val="both"/>
        <w:textAlignment w:val="auto"/>
        <w:outlineLvl w:val="9"/>
        <w:rPr>
          <w:rFonts w:hint="default" w:ascii="仿宋_GB2312" w:hAnsi="仿宋" w:eastAsia="仿宋_GB2312" w:cs="Times New Roman"/>
          <w:sz w:val="32"/>
          <w:lang w:val="en-US" w:eastAsia="zh-CN"/>
        </w:rPr>
      </w:pPr>
      <w:r>
        <w:rPr>
          <w:rFonts w:hint="eastAsia" w:ascii="仿宋_GB2312" w:hAnsi="仿宋" w:eastAsia="仿宋_GB2312" w:cs="Times New Roman"/>
          <w:b/>
          <w:bCs/>
          <w:sz w:val="32"/>
          <w:lang w:val="zh-TW"/>
        </w:rPr>
        <w:t>（2）社会效益</w:t>
      </w:r>
      <w:r>
        <w:rPr>
          <w:rFonts w:hint="eastAsia" w:ascii="仿宋_GB2312" w:hAnsi="仿宋" w:eastAsia="仿宋_GB2312" w:cs="Times New Roman"/>
          <w:b/>
          <w:bCs/>
          <w:sz w:val="32"/>
          <w:lang w:val="en-US" w:eastAsia="zh-CN"/>
        </w:rPr>
        <w:t>指标</w:t>
      </w:r>
      <w:r>
        <w:rPr>
          <w:rFonts w:hint="eastAsia" w:ascii="仿宋_GB2312" w:hAnsi="仿宋" w:eastAsia="仿宋_GB2312" w:cs="Times New Roman"/>
          <w:b/>
          <w:bCs/>
          <w:sz w:val="32"/>
          <w:lang w:val="zh-TW"/>
        </w:rPr>
        <w:t>。</w:t>
      </w:r>
      <w:r>
        <w:rPr>
          <w:rFonts w:hint="eastAsia" w:ascii="仿宋_GB2312" w:hAnsi="仿宋" w:eastAsia="仿宋_GB2312" w:cs="Times New Roman"/>
          <w:sz w:val="32"/>
          <w:lang w:val="zh-TW"/>
        </w:rPr>
        <w:t>该指标分值</w:t>
      </w:r>
      <w:r>
        <w:rPr>
          <w:rFonts w:hint="eastAsia" w:ascii="仿宋_GB2312" w:hAnsi="仿宋" w:eastAsia="仿宋_GB2312" w:cs="Times New Roman"/>
          <w:sz w:val="32"/>
          <w:lang w:val="en-US" w:eastAsia="zh-CN"/>
        </w:rPr>
        <w:t>5</w:t>
      </w:r>
      <w:r>
        <w:rPr>
          <w:rFonts w:hint="eastAsia" w:ascii="仿宋_GB2312" w:hAnsi="仿宋" w:eastAsia="仿宋_GB2312" w:cs="Times New Roman"/>
          <w:sz w:val="32"/>
          <w:lang w:val="zh-TW"/>
        </w:rPr>
        <w:t>分，</w:t>
      </w:r>
      <w:r>
        <w:rPr>
          <w:rFonts w:hint="eastAsia" w:ascii="仿宋_GB2312" w:hAnsi="仿宋" w:eastAsia="仿宋_GB2312" w:cs="Times New Roman"/>
          <w:sz w:val="32"/>
          <w:lang w:val="en-US" w:eastAsia="zh-CN"/>
        </w:rPr>
        <w:t>自评</w:t>
      </w:r>
      <w:r>
        <w:rPr>
          <w:rFonts w:hint="eastAsia" w:ascii="仿宋_GB2312" w:hAnsi="仿宋" w:eastAsia="仿宋_GB2312" w:cs="Times New Roman"/>
          <w:sz w:val="32"/>
          <w:lang w:val="zh-TW"/>
        </w:rPr>
        <w:t>得</w:t>
      </w:r>
      <w:r>
        <w:rPr>
          <w:rFonts w:hint="eastAsia" w:ascii="仿宋_GB2312" w:hAnsi="仿宋" w:eastAsia="仿宋_GB2312" w:cs="Times New Roman"/>
          <w:sz w:val="32"/>
          <w:lang w:val="en-US" w:eastAsia="zh-CN"/>
        </w:rPr>
        <w:t>分5</w:t>
      </w:r>
      <w:r>
        <w:rPr>
          <w:rFonts w:hint="eastAsia" w:ascii="仿宋_GB2312" w:hAnsi="仿宋" w:eastAsia="仿宋_GB2312" w:cs="Times New Roman"/>
          <w:sz w:val="32"/>
          <w:lang w:val="zh-TW"/>
        </w:rPr>
        <w:t>分，得分率为</w:t>
      </w:r>
      <w:r>
        <w:rPr>
          <w:rFonts w:hint="eastAsia" w:ascii="仿宋_GB2312" w:hAnsi="仿宋" w:eastAsia="仿宋_GB2312" w:cs="Times New Roman"/>
          <w:sz w:val="32"/>
          <w:lang w:val="en-US" w:eastAsia="zh-CN"/>
        </w:rPr>
        <w:t>100</w:t>
      </w:r>
      <w:r>
        <w:rPr>
          <w:rFonts w:hint="eastAsia" w:ascii="仿宋_GB2312" w:hAnsi="仿宋" w:eastAsia="仿宋_GB2312" w:cs="Times New Roman"/>
          <w:sz w:val="32"/>
          <w:lang w:val="zh-TW"/>
        </w:rPr>
        <w:t>%。</w:t>
      </w:r>
      <w:r>
        <w:rPr>
          <w:rFonts w:hint="eastAsia" w:ascii="仿宋_GB2312" w:hAnsi="仿宋" w:eastAsia="仿宋_GB2312" w:cs="Times New Roman"/>
          <w:sz w:val="32"/>
          <w:lang w:val="en-US" w:eastAsia="zh-CN"/>
        </w:rPr>
        <w:t>协作</w:t>
      </w:r>
      <w:r>
        <w:rPr>
          <w:rFonts w:hint="eastAsia" w:ascii="仿宋_GB2312" w:hAnsi="仿宋" w:eastAsia="仿宋_GB2312" w:cs="Times New Roman"/>
          <w:sz w:val="32"/>
          <w:lang w:val="zh-TW"/>
        </w:rPr>
        <w:t>地区</w:t>
      </w:r>
      <w:r>
        <w:rPr>
          <w:rFonts w:hint="eastAsia" w:ascii="仿宋_GB2312" w:hAnsi="仿宋" w:eastAsia="仿宋_GB2312" w:cs="Times New Roman"/>
          <w:sz w:val="32"/>
          <w:lang w:val="en-US" w:eastAsia="zh-CN"/>
        </w:rPr>
        <w:t>通过东西部协作机制，在产业、劳动、消费等领域取得长效发展，乡村面貌明显改善，公共</w:t>
      </w:r>
      <w:r>
        <w:rPr>
          <w:rFonts w:hint="eastAsia" w:ascii="仿宋_GB2312" w:hAnsi="仿宋" w:eastAsia="仿宋_GB2312" w:cs="Times New Roman"/>
          <w:sz w:val="32"/>
          <w:lang w:val="zh-TW"/>
        </w:rPr>
        <w:t>基础设施及公共服务设施建设、劳务协作、人才培养等取得</w:t>
      </w:r>
      <w:r>
        <w:rPr>
          <w:rFonts w:hint="eastAsia" w:ascii="仿宋_GB2312" w:hAnsi="仿宋" w:eastAsia="仿宋_GB2312" w:cs="Times New Roman"/>
          <w:sz w:val="32"/>
          <w:lang w:val="en-US" w:eastAsia="zh-CN"/>
        </w:rPr>
        <w:t>明显</w:t>
      </w:r>
      <w:r>
        <w:rPr>
          <w:rFonts w:hint="eastAsia" w:ascii="仿宋_GB2312" w:hAnsi="仿宋" w:eastAsia="仿宋_GB2312" w:cs="Times New Roman"/>
          <w:sz w:val="32"/>
          <w:lang w:val="zh-TW"/>
        </w:rPr>
        <w:t>成效。</w:t>
      </w:r>
      <w:r>
        <w:rPr>
          <w:rFonts w:hint="eastAsia" w:ascii="仿宋_GB2312" w:hAnsi="仿宋" w:eastAsia="仿宋_GB2312" w:cs="Times New Roman"/>
          <w:sz w:val="32"/>
          <w:lang w:val="en-US" w:eastAsia="zh-CN"/>
        </w:rPr>
        <w:t>2023年社会组织结对帮扶协作地区达605个，企业1822家，捐款捐物77421.66万元。协作地区人民群众的获得感、幸福感明显增强。</w:t>
      </w:r>
    </w:p>
    <w:p w14:paraId="7BD01F70">
      <w:pPr>
        <w:keepNext w:val="0"/>
        <w:keepLines w:val="0"/>
        <w:pageBreakBefore w:val="0"/>
        <w:kinsoku/>
        <w:wordWrap/>
        <w:overflowPunct/>
        <w:topLinePunct w:val="0"/>
        <w:autoSpaceDE/>
        <w:bidi w:val="0"/>
        <w:adjustRightInd/>
        <w:snapToGrid/>
        <w:spacing w:afterAutospacing="0" w:line="360" w:lineRule="auto"/>
        <w:ind w:right="0" w:rightChars="0" w:firstLine="643" w:firstLineChars="200"/>
        <w:jc w:val="both"/>
        <w:textAlignment w:val="auto"/>
        <w:outlineLvl w:val="9"/>
        <w:rPr>
          <w:rFonts w:hint="eastAsia" w:ascii="仿宋_GB2312" w:hAnsi="仿宋" w:eastAsia="仿宋_GB2312" w:cs="Times New Roman"/>
          <w:sz w:val="32"/>
          <w:lang w:val="en-US" w:eastAsia="zh-CN"/>
        </w:rPr>
      </w:pPr>
      <w:r>
        <w:rPr>
          <w:rFonts w:hint="eastAsia" w:ascii="仿宋_GB2312" w:hAnsi="仿宋" w:eastAsia="仿宋_GB2312" w:cs="Times New Roman"/>
          <w:b/>
          <w:bCs/>
          <w:sz w:val="32"/>
          <w:lang w:val="zh-TW"/>
        </w:rPr>
        <w:t>（</w:t>
      </w:r>
      <w:r>
        <w:rPr>
          <w:rFonts w:hint="eastAsia" w:ascii="仿宋_GB2312" w:hAnsi="仿宋" w:eastAsia="仿宋_GB2312" w:cs="Times New Roman"/>
          <w:b/>
          <w:bCs/>
          <w:sz w:val="32"/>
          <w:lang w:val="en-US" w:eastAsia="zh-CN"/>
        </w:rPr>
        <w:t>3</w:t>
      </w:r>
      <w:r>
        <w:rPr>
          <w:rFonts w:hint="eastAsia" w:ascii="仿宋_GB2312" w:hAnsi="仿宋" w:eastAsia="仿宋_GB2312" w:cs="Times New Roman"/>
          <w:b/>
          <w:bCs/>
          <w:sz w:val="32"/>
          <w:lang w:val="zh-TW"/>
        </w:rPr>
        <w:t>）可持续发展</w:t>
      </w:r>
      <w:r>
        <w:rPr>
          <w:rFonts w:hint="eastAsia" w:ascii="仿宋_GB2312" w:hAnsi="仿宋" w:eastAsia="仿宋_GB2312" w:cs="Times New Roman"/>
          <w:b/>
          <w:bCs/>
          <w:sz w:val="32"/>
          <w:lang w:val="en-US" w:eastAsia="zh-CN"/>
        </w:rPr>
        <w:t>指标</w:t>
      </w:r>
      <w:r>
        <w:rPr>
          <w:rFonts w:hint="eastAsia" w:ascii="仿宋_GB2312" w:hAnsi="仿宋" w:eastAsia="仿宋_GB2312" w:cs="Times New Roman"/>
          <w:b/>
          <w:bCs/>
          <w:sz w:val="32"/>
          <w:lang w:val="zh-TW"/>
        </w:rPr>
        <w:t>。</w:t>
      </w:r>
      <w:r>
        <w:rPr>
          <w:rFonts w:hint="eastAsia" w:ascii="仿宋_GB2312" w:hAnsi="仿宋" w:eastAsia="仿宋_GB2312" w:cs="Times New Roman"/>
          <w:sz w:val="32"/>
          <w:lang w:val="zh-TW"/>
        </w:rPr>
        <w:t>该指标分值</w:t>
      </w:r>
      <w:r>
        <w:rPr>
          <w:rFonts w:hint="eastAsia" w:ascii="仿宋_GB2312" w:hAnsi="仿宋" w:eastAsia="仿宋_GB2312" w:cs="Times New Roman"/>
          <w:sz w:val="32"/>
          <w:lang w:val="en-US" w:eastAsia="zh-CN"/>
        </w:rPr>
        <w:t>5</w:t>
      </w:r>
      <w:r>
        <w:rPr>
          <w:rFonts w:hint="eastAsia" w:ascii="仿宋_GB2312" w:hAnsi="仿宋" w:eastAsia="仿宋_GB2312" w:cs="Times New Roman"/>
          <w:sz w:val="32"/>
          <w:lang w:val="zh-TW"/>
        </w:rPr>
        <w:t>分，</w:t>
      </w:r>
      <w:r>
        <w:rPr>
          <w:rFonts w:hint="eastAsia" w:ascii="仿宋_GB2312" w:hAnsi="仿宋" w:eastAsia="仿宋_GB2312" w:cs="Times New Roman"/>
          <w:sz w:val="32"/>
          <w:lang w:val="en-US" w:eastAsia="zh-CN"/>
        </w:rPr>
        <w:t>自评得分5</w:t>
      </w:r>
      <w:r>
        <w:rPr>
          <w:rFonts w:hint="eastAsia" w:ascii="仿宋_GB2312" w:hAnsi="仿宋" w:eastAsia="仿宋_GB2312" w:cs="Times New Roman"/>
          <w:sz w:val="32"/>
          <w:lang w:val="zh-TW"/>
        </w:rPr>
        <w:t>分，得分率为</w:t>
      </w:r>
      <w:r>
        <w:rPr>
          <w:rFonts w:hint="eastAsia" w:ascii="仿宋_GB2312" w:hAnsi="仿宋" w:eastAsia="仿宋_GB2312" w:cs="Times New Roman"/>
          <w:sz w:val="32"/>
          <w:lang w:val="en-US" w:eastAsia="zh-CN"/>
        </w:rPr>
        <w:t>100</w:t>
      </w:r>
      <w:r>
        <w:rPr>
          <w:rFonts w:hint="eastAsia" w:ascii="仿宋_GB2312" w:hAnsi="仿宋" w:eastAsia="仿宋_GB2312" w:cs="Times New Roman"/>
          <w:sz w:val="32"/>
          <w:lang w:val="zh-TW"/>
        </w:rPr>
        <w:t>%。</w:t>
      </w:r>
      <w:r>
        <w:rPr>
          <w:rFonts w:hint="eastAsia" w:ascii="仿宋_GB2312" w:hAnsi="仿宋" w:eastAsia="仿宋_GB2312" w:cs="Times New Roman"/>
          <w:sz w:val="32"/>
          <w:lang w:val="en-US" w:eastAsia="zh-CN"/>
        </w:rPr>
        <w:t>2023年广东广西两省区政府签订全面深化粤桂合作框架协议、广东贵州两省签订建立更加紧密的结对帮扶关系框架协议，在更宽领域、更深层面建立协作关系，促进可持续发展</w:t>
      </w:r>
      <w:bookmarkStart w:id="35" w:name="_Toc42020752"/>
      <w:bookmarkStart w:id="36" w:name="_Toc41334554"/>
      <w:bookmarkStart w:id="37" w:name="_Toc42021443"/>
      <w:r>
        <w:rPr>
          <w:rFonts w:hint="eastAsia" w:ascii="仿宋_GB2312" w:hAnsi="仿宋" w:eastAsia="仿宋_GB2312" w:cs="Times New Roman"/>
          <w:sz w:val="32"/>
          <w:lang w:val="en-US" w:eastAsia="zh-CN"/>
        </w:rPr>
        <w:t>，协作的体制机制不断健全完善。</w:t>
      </w:r>
    </w:p>
    <w:p w14:paraId="5A919460">
      <w:pPr>
        <w:keepNext w:val="0"/>
        <w:keepLines w:val="0"/>
        <w:pageBreakBefore w:val="0"/>
        <w:kinsoku/>
        <w:wordWrap/>
        <w:overflowPunct/>
        <w:topLinePunct w:val="0"/>
        <w:autoSpaceDE/>
        <w:bidi w:val="0"/>
        <w:adjustRightInd/>
        <w:snapToGrid/>
        <w:spacing w:afterAutospacing="0" w:line="360" w:lineRule="auto"/>
        <w:ind w:right="0" w:rightChars="0" w:firstLine="643" w:firstLineChars="200"/>
        <w:jc w:val="both"/>
        <w:textAlignment w:val="auto"/>
        <w:outlineLvl w:val="9"/>
        <w:rPr>
          <w:rFonts w:ascii="仿宋_GB2312" w:hAnsi="仿宋" w:eastAsia="仿宋_GB2312" w:cs="Times New Roman"/>
          <w:sz w:val="32"/>
          <w:lang w:val="zh-TW"/>
        </w:rPr>
      </w:pPr>
      <w:r>
        <w:rPr>
          <w:rFonts w:hint="eastAsia" w:ascii="仿宋_GB2312" w:hAnsi="仿宋" w:eastAsia="仿宋_GB2312" w:cs="Times New Roman"/>
          <w:b/>
          <w:bCs/>
          <w:sz w:val="32"/>
          <w:lang w:val="zh-TW"/>
        </w:rPr>
        <w:t>（</w:t>
      </w:r>
      <w:r>
        <w:rPr>
          <w:rFonts w:hint="eastAsia" w:ascii="仿宋_GB2312" w:hAnsi="仿宋" w:eastAsia="仿宋_GB2312" w:cs="Times New Roman"/>
          <w:b/>
          <w:bCs/>
          <w:sz w:val="32"/>
          <w:lang w:val="en-US" w:eastAsia="zh-CN"/>
        </w:rPr>
        <w:t>4</w:t>
      </w:r>
      <w:r>
        <w:rPr>
          <w:rFonts w:hint="eastAsia" w:ascii="仿宋_GB2312" w:hAnsi="仿宋" w:eastAsia="仿宋_GB2312" w:cs="Times New Roman"/>
          <w:b/>
          <w:bCs/>
          <w:sz w:val="32"/>
          <w:lang w:val="zh-TW"/>
        </w:rPr>
        <w:t>）满意度。</w:t>
      </w:r>
      <w:r>
        <w:rPr>
          <w:rFonts w:hint="eastAsia" w:ascii="仿宋_GB2312" w:hAnsi="仿宋" w:eastAsia="仿宋_GB2312" w:cs="Times New Roman"/>
          <w:sz w:val="32"/>
          <w:lang w:val="zh-TW"/>
        </w:rPr>
        <w:t>该指标分值</w:t>
      </w:r>
      <w:r>
        <w:rPr>
          <w:rFonts w:hint="eastAsia" w:ascii="仿宋_GB2312" w:hAnsi="仿宋" w:eastAsia="仿宋_GB2312" w:cs="Times New Roman"/>
          <w:sz w:val="32"/>
          <w:lang w:val="en-US" w:eastAsia="zh-CN"/>
        </w:rPr>
        <w:t>5</w:t>
      </w:r>
      <w:r>
        <w:rPr>
          <w:rFonts w:hint="eastAsia" w:ascii="仿宋_GB2312" w:hAnsi="仿宋" w:eastAsia="仿宋_GB2312" w:cs="Times New Roman"/>
          <w:sz w:val="32"/>
          <w:lang w:val="zh-TW"/>
        </w:rPr>
        <w:t>分，</w:t>
      </w:r>
      <w:r>
        <w:rPr>
          <w:rFonts w:hint="eastAsia" w:ascii="仿宋_GB2312" w:hAnsi="仿宋" w:eastAsia="仿宋_GB2312" w:cs="Times New Roman"/>
          <w:sz w:val="32"/>
          <w:lang w:val="en-US" w:eastAsia="zh-CN"/>
        </w:rPr>
        <w:t>自评得分5</w:t>
      </w:r>
      <w:r>
        <w:rPr>
          <w:rFonts w:hint="eastAsia" w:ascii="仿宋_GB2312" w:hAnsi="仿宋" w:eastAsia="仿宋_GB2312" w:cs="Times New Roman"/>
          <w:sz w:val="32"/>
          <w:lang w:val="zh-TW"/>
        </w:rPr>
        <w:t>分，得分率为100%。</w:t>
      </w:r>
      <w:bookmarkEnd w:id="35"/>
      <w:bookmarkEnd w:id="36"/>
      <w:bookmarkEnd w:id="37"/>
      <w:r>
        <w:rPr>
          <w:rFonts w:hint="eastAsia" w:ascii="仿宋_GB2312" w:hAnsi="仿宋" w:eastAsia="仿宋_GB2312" w:cs="Times New Roman"/>
          <w:sz w:val="32"/>
          <w:lang w:val="zh-TW"/>
        </w:rPr>
        <w:t>根据</w:t>
      </w:r>
      <w:r>
        <w:rPr>
          <w:rFonts w:ascii="仿宋_GB2312" w:hAnsi="仿宋_GB2312" w:eastAsia="仿宋_GB2312" w:cs="仿宋_GB2312"/>
          <w:sz w:val="32"/>
          <w:szCs w:val="32"/>
        </w:rPr>
        <w:t>广西</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贵州</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省有关部门对</w:t>
      </w:r>
      <w:r>
        <w:rPr>
          <w:rFonts w:hint="eastAsia" w:ascii="仿宋_GB2312" w:hAnsi="仿宋" w:eastAsia="仿宋_GB2312" w:cs="Times New Roman"/>
          <w:sz w:val="32"/>
          <w:lang w:val="zh-TW"/>
        </w:rPr>
        <w:t>被帮扶地区群众进行问卷调查和调研活动，20</w:t>
      </w:r>
      <w:r>
        <w:rPr>
          <w:rFonts w:hint="eastAsia" w:ascii="仿宋_GB2312" w:hAnsi="仿宋" w:eastAsia="仿宋_GB2312" w:cs="Times New Roman"/>
          <w:sz w:val="32"/>
          <w:lang w:val="en-US" w:eastAsia="zh-CN"/>
        </w:rPr>
        <w:t>23</w:t>
      </w:r>
      <w:r>
        <w:rPr>
          <w:rFonts w:hint="eastAsia" w:ascii="仿宋_GB2312" w:hAnsi="仿宋" w:eastAsia="仿宋_GB2312" w:cs="Times New Roman"/>
          <w:sz w:val="32"/>
          <w:lang w:val="zh-TW"/>
        </w:rPr>
        <w:t>年东西部协作</w:t>
      </w:r>
      <w:r>
        <w:rPr>
          <w:rFonts w:hint="eastAsia" w:ascii="仿宋_GB2312" w:hAnsi="仿宋" w:eastAsia="仿宋_GB2312" w:cs="Times New Roman"/>
          <w:sz w:val="32"/>
          <w:lang w:val="en-US" w:eastAsia="zh-CN"/>
        </w:rPr>
        <w:t>工作</w:t>
      </w:r>
      <w:r>
        <w:rPr>
          <w:rFonts w:hint="eastAsia" w:ascii="仿宋_GB2312" w:hAnsi="仿宋" w:eastAsia="仿宋_GB2312" w:cs="Times New Roman"/>
          <w:sz w:val="32"/>
          <w:lang w:val="zh-TW"/>
        </w:rPr>
        <w:t>满意度为100%。</w:t>
      </w:r>
    </w:p>
    <w:p w14:paraId="70A9AB53">
      <w:pPr>
        <w:keepNext w:val="0"/>
        <w:keepLines w:val="0"/>
        <w:pageBreakBefore w:val="0"/>
        <w:kinsoku/>
        <w:wordWrap/>
        <w:overflowPunct/>
        <w:topLinePunct w:val="0"/>
        <w:autoSpaceDE/>
        <w:bidi w:val="0"/>
        <w:adjustRightInd/>
        <w:snapToGrid/>
        <w:spacing w:before="0" w:after="0" w:afterAutospacing="0" w:line="360" w:lineRule="auto"/>
        <w:ind w:right="0" w:rightChars="0" w:firstLine="643" w:firstLineChars="200"/>
        <w:jc w:val="both"/>
        <w:textAlignment w:val="auto"/>
        <w:outlineLvl w:val="1"/>
        <w:rPr>
          <w:rFonts w:hint="eastAsia" w:ascii="楷体" w:hAnsi="楷体" w:eastAsia="楷体" w:cs="楷体"/>
          <w:b/>
          <w:bCs/>
          <w:sz w:val="32"/>
          <w:szCs w:val="32"/>
        </w:rPr>
      </w:pPr>
      <w:bookmarkStart w:id="38" w:name="_Toc19879"/>
      <w:bookmarkStart w:id="39" w:name="_Toc42021444"/>
      <w:r>
        <w:rPr>
          <w:rFonts w:hint="eastAsia" w:ascii="楷体" w:hAnsi="楷体" w:eastAsia="楷体" w:cs="楷体"/>
          <w:b/>
          <w:bCs/>
          <w:sz w:val="32"/>
          <w:szCs w:val="32"/>
        </w:rPr>
        <w:t>（二）专项资金使用绩效</w:t>
      </w:r>
      <w:bookmarkEnd w:id="38"/>
      <w:bookmarkEnd w:id="39"/>
    </w:p>
    <w:p w14:paraId="702C2EF5">
      <w:pPr>
        <w:keepNext w:val="0"/>
        <w:keepLines w:val="0"/>
        <w:pageBreakBefore w:val="0"/>
        <w:kinsoku/>
        <w:wordWrap/>
        <w:overflowPunct/>
        <w:topLinePunct w:val="0"/>
        <w:autoSpaceDE/>
        <w:bidi w:val="0"/>
        <w:adjustRightInd/>
        <w:snapToGrid/>
        <w:spacing w:before="0" w:after="0" w:afterAutospacing="0" w:line="360" w:lineRule="auto"/>
        <w:ind w:right="0" w:rightChars="0" w:firstLine="643" w:firstLineChars="200"/>
        <w:jc w:val="both"/>
        <w:textAlignment w:val="auto"/>
        <w:outlineLvl w:val="9"/>
        <w:rPr>
          <w:rFonts w:hint="eastAsia" w:ascii="仿宋" w:hAnsi="仿宋" w:eastAsia="仿宋" w:cs="仿宋"/>
          <w:b/>
          <w:bCs/>
          <w:sz w:val="32"/>
          <w:szCs w:val="32"/>
        </w:rPr>
      </w:pPr>
      <w:bookmarkStart w:id="40" w:name="_Toc3169"/>
      <w:bookmarkStart w:id="41" w:name="_Toc42021445"/>
      <w:r>
        <w:rPr>
          <w:rFonts w:hint="eastAsia" w:ascii="仿宋" w:hAnsi="仿宋" w:eastAsia="仿宋" w:cs="仿宋"/>
          <w:b/>
          <w:bCs/>
          <w:sz w:val="32"/>
          <w:szCs w:val="32"/>
        </w:rPr>
        <w:t>1.专项</w:t>
      </w:r>
      <w:r>
        <w:rPr>
          <w:rFonts w:hint="eastAsia" w:ascii="仿宋" w:hAnsi="仿宋" w:eastAsia="仿宋" w:cs="仿宋"/>
          <w:b/>
          <w:bCs/>
          <w:kern w:val="2"/>
          <w:sz w:val="32"/>
          <w:szCs w:val="32"/>
        </w:rPr>
        <w:t>资金</w:t>
      </w:r>
      <w:r>
        <w:rPr>
          <w:rFonts w:hint="eastAsia" w:ascii="仿宋" w:hAnsi="仿宋" w:eastAsia="仿宋" w:cs="仿宋"/>
          <w:b/>
          <w:bCs/>
          <w:sz w:val="32"/>
          <w:szCs w:val="32"/>
        </w:rPr>
        <w:t>支出情况。</w:t>
      </w:r>
      <w:bookmarkEnd w:id="40"/>
      <w:bookmarkEnd w:id="41"/>
    </w:p>
    <w:p w14:paraId="51F99590">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0" w:firstLineChars="200"/>
        <w:jc w:val="both"/>
        <w:textAlignment w:val="auto"/>
        <w:outlineLvl w:val="9"/>
        <w:rPr>
          <w:rFonts w:hint="default" w:ascii="仿宋_GB2312" w:hAnsi="仿宋" w:eastAsia="仿宋_GB2312" w:cs="Times New Roman"/>
          <w:sz w:val="32"/>
          <w:lang w:val="en-US" w:eastAsia="zh-CN"/>
        </w:rPr>
      </w:pPr>
      <w:bookmarkStart w:id="42" w:name="_Toc42021446"/>
      <w:r>
        <w:rPr>
          <w:rFonts w:hint="eastAsia" w:ascii="仿宋_GB2312" w:hAnsi="仿宋" w:eastAsia="仿宋_GB2312" w:cs="Times New Roman"/>
          <w:sz w:val="32"/>
          <w:lang w:val="zh-TW"/>
        </w:rPr>
        <w:t>截至202</w:t>
      </w:r>
      <w:r>
        <w:rPr>
          <w:rFonts w:hint="eastAsia" w:ascii="仿宋_GB2312" w:hAnsi="仿宋" w:eastAsia="仿宋_GB2312" w:cs="Times New Roman"/>
          <w:sz w:val="32"/>
          <w:lang w:val="en-US" w:eastAsia="zh-CN"/>
        </w:rPr>
        <w:t>3</w:t>
      </w:r>
      <w:r>
        <w:rPr>
          <w:rFonts w:hint="eastAsia" w:ascii="仿宋_GB2312" w:hAnsi="仿宋" w:eastAsia="仿宋_GB2312" w:cs="Times New Roman"/>
          <w:sz w:val="32"/>
          <w:lang w:val="zh-TW"/>
        </w:rPr>
        <w:t>年</w:t>
      </w:r>
      <w:r>
        <w:rPr>
          <w:rFonts w:hint="eastAsia" w:ascii="仿宋_GB2312" w:hAnsi="仿宋" w:eastAsia="仿宋_GB2312" w:cs="Times New Roman"/>
          <w:sz w:val="32"/>
          <w:lang w:val="en-US" w:eastAsia="zh-CN"/>
        </w:rPr>
        <w:t>12</w:t>
      </w:r>
      <w:r>
        <w:rPr>
          <w:rFonts w:hint="eastAsia" w:ascii="仿宋_GB2312" w:hAnsi="仿宋" w:eastAsia="仿宋_GB2312" w:cs="Times New Roman"/>
          <w:sz w:val="32"/>
          <w:lang w:val="zh-TW"/>
        </w:rPr>
        <w:t>月31日，</w:t>
      </w:r>
      <w:r>
        <w:rPr>
          <w:rFonts w:hint="eastAsia" w:ascii="仿宋_GB2312" w:hAnsi="仿宋" w:eastAsia="仿宋_GB2312" w:cs="Times New Roman"/>
          <w:sz w:val="32"/>
          <w:lang w:val="en-US" w:eastAsia="zh-CN"/>
        </w:rPr>
        <w:t>省级</w:t>
      </w:r>
      <w:r>
        <w:rPr>
          <w:rFonts w:hint="eastAsia" w:ascii="仿宋_GB2312" w:hAnsi="Times New Roman" w:eastAsia="仿宋_GB2312" w:cs="Times New Roman"/>
          <w:sz w:val="32"/>
          <w:szCs w:val="32"/>
          <w:lang w:val="en-US" w:eastAsia="zh-CN"/>
        </w:rPr>
        <w:t>东西部协作财政援助资金</w:t>
      </w:r>
      <w:r>
        <w:rPr>
          <w:rFonts w:hint="eastAsia" w:ascii="仿宋_GB2312" w:hAnsi="仿宋" w:eastAsia="仿宋_GB2312" w:cs="Times New Roman"/>
          <w:sz w:val="32"/>
          <w:lang w:val="zh-TW"/>
        </w:rPr>
        <w:t>到位数</w:t>
      </w:r>
      <w:r>
        <w:rPr>
          <w:rFonts w:hint="eastAsia" w:ascii="仿宋_GB2312" w:hAnsi="仿宋" w:eastAsia="仿宋_GB2312" w:cs="Times New Roman"/>
          <w:sz w:val="32"/>
          <w:lang w:val="en-US" w:eastAsia="zh-CN"/>
        </w:rPr>
        <w:t>8.16亿元</w:t>
      </w:r>
      <w:r>
        <w:rPr>
          <w:rFonts w:hint="eastAsia" w:ascii="仿宋_GB2312" w:hAnsi="仿宋" w:eastAsia="仿宋_GB2312" w:cs="Times New Roman"/>
          <w:sz w:val="32"/>
          <w:lang w:val="zh-TW"/>
        </w:rPr>
        <w:t>，支出</w:t>
      </w:r>
      <w:r>
        <w:rPr>
          <w:rFonts w:hint="eastAsia" w:ascii="仿宋_GB2312" w:hAnsi="仿宋" w:eastAsia="仿宋_GB2312" w:cs="Times New Roman"/>
          <w:sz w:val="32"/>
          <w:lang w:val="en-US" w:eastAsia="zh-CN"/>
        </w:rPr>
        <w:t>8.16亿元</w:t>
      </w:r>
      <w:r>
        <w:rPr>
          <w:rFonts w:hint="eastAsia" w:ascii="仿宋_GB2312" w:hAnsi="仿宋" w:eastAsia="仿宋_GB2312" w:cs="Times New Roman"/>
          <w:sz w:val="32"/>
          <w:lang w:val="zh-TW"/>
        </w:rPr>
        <w:t>，支出率100%。</w:t>
      </w:r>
      <w:r>
        <w:rPr>
          <w:rFonts w:hint="eastAsia" w:ascii="仿宋_GB2312" w:hAnsi="仿宋" w:eastAsia="仿宋_GB2312" w:cs="Times New Roman"/>
          <w:sz w:val="32"/>
          <w:lang w:val="en-US" w:eastAsia="zh-CN"/>
        </w:rPr>
        <w:t>我省各级各类财政援助资金实际到位525868万元，资金实际使用487133.96万元，使用占比92.63%，其中用于产业帮扶323701.03万元，用于就业帮扶47358.68万元，用于干部和人才培训17793.42万元，用于打造乡村振兴示范典型47039.07万元，用于改善农村人居环境15310.25万元，用于提升农村基本公共服务水平65247.9万元，用于脱贫残疾人帮扶2261.02万元等。</w:t>
      </w:r>
      <w:bookmarkStart w:id="43" w:name="_Toc25708"/>
      <w:r>
        <w:rPr>
          <w:rFonts w:hint="eastAsia" w:ascii="仿宋_GB2312" w:hAnsi="仿宋" w:eastAsia="仿宋_GB2312" w:cs="Times New Roman"/>
          <w:sz w:val="32"/>
          <w:lang w:val="en-US" w:eastAsia="zh-CN"/>
        </w:rPr>
        <w:t>我厅代转拨至粤桂、粤黔协作工作队工作经费，干部补助费，“组团式”帮扶人才保障经费均由粤桂、粤黔协作工作队按照现行制度和经费实施方案落实使用。2023年，审计整改“回头看”充分肯定了协作资金使用取得的绩效成绩，指出的相关问题也完成了立行立改，确保协作资金发挥最高效益。</w:t>
      </w:r>
    </w:p>
    <w:p w14:paraId="5399ECA2">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3" w:firstLineChars="200"/>
        <w:jc w:val="both"/>
        <w:textAlignment w:val="auto"/>
        <w:outlineLvl w:val="9"/>
        <w:rPr>
          <w:rFonts w:hint="eastAsia" w:ascii="仿宋_GB2312" w:hAnsi="仿宋" w:eastAsia="仿宋_GB2312" w:cs="Times New Roman"/>
          <w:b/>
          <w:bCs/>
          <w:sz w:val="32"/>
          <w:lang w:val="en-US" w:eastAsia="zh-CN"/>
        </w:rPr>
      </w:pPr>
      <w:r>
        <w:rPr>
          <w:rFonts w:hint="eastAsia" w:ascii="仿宋_GB2312" w:hAnsi="仿宋" w:eastAsia="仿宋_GB2312" w:cs="Times New Roman"/>
          <w:b/>
          <w:bCs/>
          <w:sz w:val="32"/>
          <w:lang w:val="en-US" w:eastAsia="zh-CN"/>
        </w:rPr>
        <w:t>2.专项资金完成绩效目标情况。</w:t>
      </w:r>
      <w:bookmarkEnd w:id="42"/>
      <w:bookmarkEnd w:id="43"/>
    </w:p>
    <w:p w14:paraId="7FE2F508">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0" w:firstLineChars="200"/>
        <w:jc w:val="both"/>
        <w:textAlignment w:val="auto"/>
        <w:outlineLvl w:val="9"/>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省级专项资金的投入有力保障了惠州、江门等帮扶的广西、贵州协作任务的超额完成，财政援助资金设定的绩效目标全部实现，全方位实现各项工作提质增效。</w:t>
      </w:r>
      <w:r>
        <w:rPr>
          <w:rFonts w:hint="eastAsia" w:ascii="仿宋_GB2312" w:hAnsi="仿宋" w:eastAsia="仿宋_GB2312" w:cs="Times New Roman"/>
          <w:b/>
          <w:bCs/>
          <w:sz w:val="32"/>
          <w:lang w:val="en-US" w:eastAsia="zh-CN"/>
        </w:rPr>
        <w:t>一是</w:t>
      </w:r>
      <w:r>
        <w:rPr>
          <w:rFonts w:hint="eastAsia" w:ascii="仿宋_GB2312" w:hAnsi="仿宋" w:eastAsia="仿宋_GB2312" w:cs="Times New Roman"/>
          <w:sz w:val="32"/>
          <w:lang w:val="en-US" w:eastAsia="zh-CN"/>
        </w:rPr>
        <w:t>省级财政援助资金有力保障了惠州、江门、湛江、茂名、肇庆市帮扶广西和贵州16个</w:t>
      </w:r>
      <w:r>
        <w:rPr>
          <w:rFonts w:hint="eastAsia" w:ascii="仿宋_GB2312" w:hAnsi="仿宋_GB2312" w:eastAsia="仿宋_GB2312" w:cs="仿宋_GB2312"/>
          <w:b w:val="0"/>
          <w:kern w:val="2"/>
          <w:sz w:val="32"/>
          <w:szCs w:val="32"/>
          <w:lang w:val="en-US" w:eastAsia="zh-CN"/>
        </w:rPr>
        <w:t>脱贫</w:t>
      </w:r>
      <w:r>
        <w:rPr>
          <w:rFonts w:hint="eastAsia" w:ascii="仿宋_GB2312" w:hAnsi="仿宋" w:eastAsia="仿宋_GB2312" w:cs="Times New Roman"/>
          <w:sz w:val="32"/>
          <w:lang w:val="en-US" w:eastAsia="zh-CN"/>
        </w:rPr>
        <w:t>县的工作任务。其中用于产业帮扶52678.58万元，用于就业帮扶3982.99万元，用于干部人才培训3932.31万元，用于打造乡村振兴典型10717.39万元，用于改善农村人居环境4272.10万元，用于提升农村基本公共服务水平4453.15万元，用于脱贫残疾人帮扶678.76万元，财政投入比重适当。</w:t>
      </w:r>
      <w:r>
        <w:rPr>
          <w:rFonts w:hint="eastAsia" w:ascii="仿宋_GB2312" w:hAnsi="仿宋" w:eastAsia="仿宋_GB2312" w:cs="Times New Roman"/>
          <w:b/>
          <w:bCs/>
          <w:sz w:val="32"/>
          <w:lang w:val="en-US" w:eastAsia="zh-CN"/>
        </w:rPr>
        <w:t>二是</w:t>
      </w:r>
      <w:r>
        <w:rPr>
          <w:rFonts w:hint="eastAsia" w:ascii="仿宋_GB2312" w:hAnsi="仿宋" w:eastAsia="仿宋_GB2312" w:cs="Times New Roman"/>
          <w:sz w:val="32"/>
          <w:lang w:val="en-US" w:eastAsia="zh-CN"/>
        </w:rPr>
        <w:t>省级财政有力保障了粤桂、粤黔协作两个工作队和“组团式”帮扶人才圆满完成协作工作任务。2023年在迎接国家东西部协作考核中，受到考核评价组和国家有关部门的充分肯定，实现持续走在全国前列目标。</w:t>
      </w:r>
    </w:p>
    <w:p w14:paraId="3244CE03">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3" w:firstLineChars="200"/>
        <w:jc w:val="both"/>
        <w:textAlignment w:val="auto"/>
        <w:outlineLvl w:val="9"/>
        <w:rPr>
          <w:rFonts w:hint="eastAsia" w:ascii="仿宋_GB2312" w:hAnsi="仿宋" w:eastAsia="仿宋_GB2312" w:cs="Times New Roman"/>
          <w:b/>
          <w:bCs/>
          <w:sz w:val="32"/>
          <w:lang w:val="en-US" w:eastAsia="zh-CN"/>
        </w:rPr>
      </w:pPr>
      <w:bookmarkStart w:id="44" w:name="_Toc19319"/>
      <w:r>
        <w:rPr>
          <w:rFonts w:hint="eastAsia" w:ascii="仿宋_GB2312" w:hAnsi="仿宋" w:eastAsia="仿宋_GB2312" w:cs="Times New Roman"/>
          <w:b/>
          <w:bCs/>
          <w:sz w:val="32"/>
          <w:lang w:val="en-US" w:eastAsia="zh-CN"/>
        </w:rPr>
        <w:t>3.专项资金分用途使用绩效。</w:t>
      </w:r>
      <w:bookmarkEnd w:id="44"/>
    </w:p>
    <w:p w14:paraId="11147C85">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0" w:firstLineChars="200"/>
        <w:jc w:val="both"/>
        <w:textAlignment w:val="auto"/>
        <w:outlineLvl w:val="9"/>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2023年，广东省深入学习贯彻党的二十大和习近平总书记关于深化东西部协作重要指示精神，全面落实党中央、国务院东西部协作决策部署，务实深化产业、劳务、消费、科技和社会力量“五大协作”，超额完成2023年粤桂、粤黔《东西部协作协议》各项指标任务，为助力广西、贵州持续巩固拓展脱贫攻坚成果、全面推进乡村振兴做出了广东贡献，书写了广东担当。协作打造产业集群，助推县域经济加快发展；协作开展“我在广西贵州有个园”活动，做深做实社会力量帮扶；“双向”深化“一县一企”稳岗就业基地建设，织牢脱贫人口就业“双重”兜底保障；“双品牌”推动乡村产业融入粤港澳大湾区；合作设立“反向飞地”，产业协作实现“双向奔赴”；依托贵州“小鸡蛋”，撬动湾区“大市场”选推为创新性做法与典型经验，上报农业农村部和中央农办。广东高位推动东西部协作久久为功，从2021年起东西部协作一直走在全国</w:t>
      </w:r>
      <w:bookmarkStart w:id="48" w:name="_GoBack"/>
      <w:bookmarkEnd w:id="48"/>
      <w:r>
        <w:rPr>
          <w:rFonts w:hint="eastAsia" w:ascii="仿宋_GB2312" w:hAnsi="仿宋" w:eastAsia="仿宋_GB2312" w:cs="Times New Roman"/>
          <w:sz w:val="32"/>
          <w:lang w:val="en-US" w:eastAsia="zh-CN"/>
        </w:rPr>
        <w:t>前列，作表率，为助力协作地区持续巩固拓展脱贫攻坚成果同乡村振兴有效衔接和推动区域协调发展、协同发展、共同发展作出了大贡献。</w:t>
      </w:r>
    </w:p>
    <w:p w14:paraId="5D169310">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3" w:firstLineChars="200"/>
        <w:jc w:val="left"/>
        <w:textAlignment w:val="auto"/>
        <w:outlineLvl w:val="1"/>
        <w:rPr>
          <w:rFonts w:hint="eastAsia" w:ascii="仿宋_GB2312" w:hAnsi="仿宋_GB2312" w:eastAsia="仿宋_GB2312" w:cs="仿宋_GB2312"/>
          <w:sz w:val="32"/>
          <w:szCs w:val="32"/>
          <w:lang w:val="en-US" w:eastAsia="zh-CN"/>
        </w:rPr>
      </w:pPr>
      <w:bookmarkStart w:id="45" w:name="_Toc5930"/>
      <w:bookmarkStart w:id="46" w:name="_Toc42021449"/>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专项资金使用绩效存在的问题</w:t>
      </w:r>
      <w:bookmarkEnd w:id="45"/>
      <w:bookmarkEnd w:id="46"/>
      <w:bookmarkStart w:id="47" w:name="_Toc12656"/>
    </w:p>
    <w:p w14:paraId="517E4546">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0" w:firstLineChars="200"/>
        <w:jc w:val="left"/>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2023年东西部协作考核评价指出，个别市区动员社会力量参与结对帮扶的实际举措还不多、个别专业技术人员选派不够规范，需要在下一步工作中加改进。</w:t>
      </w:r>
    </w:p>
    <w:p w14:paraId="25C3F4F8">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0" w:firstLineChars="200"/>
        <w:jc w:val="left"/>
        <w:textAlignment w:val="auto"/>
        <w:outlineLvl w:val="0"/>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黑体" w:hAnsi="黑体" w:eastAsia="黑体" w:cs="黑体"/>
          <w:b w:val="0"/>
          <w:bCs w:val="0"/>
          <w:sz w:val="32"/>
          <w:szCs w:val="32"/>
          <w:lang w:val="en-US" w:eastAsia="zh-CN"/>
        </w:rPr>
        <w:t>三、改进意见</w:t>
      </w:r>
      <w:bookmarkEnd w:id="47"/>
    </w:p>
    <w:p w14:paraId="1D6B5F84">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0" w:firstLineChars="200"/>
        <w:jc w:val="left"/>
        <w:textAlignment w:val="auto"/>
        <w:outlineLvl w:val="0"/>
        <w:rPr>
          <w:rFonts w:hint="eastAsia" w:ascii="FangSong_GB2312" w:hAnsi="FangSong_GB2312" w:eastAsia="FangSong_GB2312"/>
          <w:sz w:val="32"/>
          <w:szCs w:val="24"/>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下一步，在协作资金使用管理上，我们将努力</w:t>
      </w: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做实“四个一”</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w:t>
      </w:r>
      <w:r>
        <w:rPr>
          <w:rFonts w:hint="eastAsia" w:ascii="楷体_GB2312" w:hAnsi="楷体_GB2312" w:eastAsia="楷体_GB2312" w:cs="楷体_GB2312"/>
          <w:b/>
          <w:bCs/>
          <w:i w:val="0"/>
          <w:iCs w:val="0"/>
          <w:caps w:val="0"/>
          <w:color w:val="auto"/>
          <w:spacing w:val="0"/>
          <w:kern w:val="2"/>
          <w:sz w:val="32"/>
          <w:szCs w:val="32"/>
          <w:shd w:val="clear" w:color="auto" w:fill="FFFFFF"/>
          <w:lang w:val="en-US" w:eastAsia="zh-CN" w:bidi="ar-SA"/>
        </w:rPr>
        <w:t>一是完善一套制度。</w:t>
      </w:r>
      <w:r>
        <w:rPr>
          <w:rFonts w:hint="eastAsia" w:ascii="仿宋_GB2312" w:hAnsi="仿宋_GB2312" w:eastAsia="仿宋_GB2312" w:cs="仿宋_GB2312"/>
          <w:i w:val="0"/>
          <w:iCs w:val="0"/>
          <w:caps w:val="0"/>
          <w:color w:val="auto"/>
          <w:spacing w:val="0"/>
          <w:sz w:val="32"/>
          <w:szCs w:val="32"/>
          <w:shd w:val="clear" w:color="auto" w:fill="FFFFFF"/>
          <w:lang w:val="en-US" w:eastAsia="zh-CN"/>
        </w:rPr>
        <w:t>被帮扶地区是东西部协作资金使用、项目实施管理的责任主体。我们将以此次资金绩效评价为契机，坚持问题导向，积极主动商广西、贵州农业农村及财政部门，进一步修订完善《广东帮扶广西财政协作资金管理办法》《粤黔东西部协作资金管理办法》，进一步明确和强化广东协作方及前方工作队在协作资金使用管理上的督促、检查和监督责任及义务，规范财政援助资金使用。</w:t>
      </w: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二是</w:t>
      </w:r>
      <w:r>
        <w:rPr>
          <w:rFonts w:hint="eastAsia" w:ascii="楷体_GB2312" w:hAnsi="楷体_GB2312" w:eastAsia="楷体_GB2312" w:cs="楷体_GB2312"/>
          <w:b/>
          <w:bCs/>
          <w:i w:val="0"/>
          <w:iCs w:val="0"/>
          <w:caps w:val="0"/>
          <w:color w:val="auto"/>
          <w:spacing w:val="0"/>
          <w:kern w:val="2"/>
          <w:sz w:val="32"/>
          <w:szCs w:val="32"/>
          <w:shd w:val="clear" w:color="auto" w:fill="FFFFFF"/>
          <w:lang w:val="en-US" w:eastAsia="zh-CN" w:bidi="ar-SA"/>
        </w:rPr>
        <w:t>健全一套机制。</w:t>
      </w:r>
      <w:r>
        <w:rPr>
          <w:rFonts w:hint="eastAsia" w:ascii="仿宋_GB2312" w:hAnsi="仿宋_GB2312" w:eastAsia="仿宋_GB2312" w:cs="仿宋_GB2312"/>
          <w:i w:val="0"/>
          <w:iCs w:val="0"/>
          <w:caps w:val="0"/>
          <w:color w:val="auto"/>
          <w:spacing w:val="0"/>
          <w:sz w:val="32"/>
          <w:szCs w:val="32"/>
          <w:shd w:val="clear" w:color="auto" w:fill="FFFFFF"/>
          <w:lang w:val="en-US" w:eastAsia="zh-CN"/>
        </w:rPr>
        <w:t>充分发挥前方工作队、组、小组桥梁纽带作用，进一步加强协作双方各级政府与政府之间、部门与部门之间的沟通联络，及时通报有关情况，互通关键信息，形成省市县三级纵向到底、政府部门横向到边的工作机制。适应新阶段深化东西部协作工作要求，加强协作资金项目联农带农富农体制机制研究，推动协作帮扶项目更多惠及脱贫人口。规范协作地区协作资金项目库建设，建立和完善协作帮扶项目定期审查通报机制，完善协作资金项目“联审”“联签”会商机制，将有限的协作资金真正用在增强协作地区内生发展动力上。</w:t>
      </w:r>
      <w:r>
        <w:rPr>
          <w:rFonts w:hint="eastAsia" w:ascii="楷体_GB2312" w:hAnsi="楷体_GB2312" w:eastAsia="楷体_GB2312" w:cs="楷体_GB2312"/>
          <w:b/>
          <w:bCs/>
          <w:i w:val="0"/>
          <w:iCs w:val="0"/>
          <w:caps w:val="0"/>
          <w:color w:val="auto"/>
          <w:spacing w:val="0"/>
          <w:kern w:val="2"/>
          <w:sz w:val="32"/>
          <w:szCs w:val="32"/>
          <w:shd w:val="clear" w:color="auto" w:fill="FFFFFF"/>
          <w:lang w:val="en-US" w:eastAsia="zh-CN" w:bidi="ar-SA"/>
        </w:rPr>
        <w:t>三是开展一次普查。</w:t>
      </w:r>
      <w:r>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结合</w:t>
      </w:r>
      <w:r>
        <w:rPr>
          <w:rFonts w:hint="eastAsia" w:ascii="仿宋_GB2312" w:hAnsi="仿宋_GB2312" w:eastAsia="仿宋_GB2312" w:cs="仿宋_GB2312"/>
          <w:i w:val="0"/>
          <w:iCs w:val="0"/>
          <w:caps w:val="0"/>
          <w:color w:val="auto"/>
          <w:spacing w:val="0"/>
          <w:sz w:val="32"/>
          <w:szCs w:val="32"/>
          <w:shd w:val="clear" w:color="auto" w:fill="FFFFFF"/>
          <w:lang w:val="en-US" w:eastAsia="zh-CN"/>
        </w:rPr>
        <w:t>此次协作资金绩效评价，全面开展一次协作资金项目地毯式普查，要求建立资金项目全金额台账，做到资金投向、项目建设和进度了然于心。结合新干部调整，联合协作双方各职能部门共同开展项目建设调研论证，对2024年协作帮扶的全部项目开展一次实地调查研究，充分论证项目建设的必要性和可行性，督促指导前方工作队</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科学</w:t>
      </w:r>
      <w:r>
        <w:rPr>
          <w:rFonts w:hint="eastAsia" w:ascii="仿宋_GB2312" w:hAnsi="仿宋_GB2312" w:eastAsia="仿宋_GB2312" w:cs="仿宋_GB2312"/>
          <w:i w:val="0"/>
          <w:iCs w:val="0"/>
          <w:caps w:val="0"/>
          <w:color w:val="auto"/>
          <w:spacing w:val="0"/>
          <w:sz w:val="32"/>
          <w:szCs w:val="32"/>
          <w:shd w:val="clear" w:color="auto" w:fill="FFFFFF"/>
          <w:lang w:val="en-US" w:eastAsia="zh-CN"/>
        </w:rPr>
        <w:t>加强项目资金使用监管，也促进协作地区深化认识，科学规范协作资金项目管理。</w:t>
      </w:r>
      <w:r>
        <w:rPr>
          <w:rFonts w:hint="eastAsia" w:ascii="楷体_GB2312" w:hAnsi="楷体_GB2312" w:eastAsia="楷体_GB2312" w:cs="楷体_GB2312"/>
          <w:b/>
          <w:bCs/>
          <w:i w:val="0"/>
          <w:iCs w:val="0"/>
          <w:caps w:val="0"/>
          <w:color w:val="auto"/>
          <w:spacing w:val="0"/>
          <w:kern w:val="2"/>
          <w:sz w:val="32"/>
          <w:szCs w:val="32"/>
          <w:shd w:val="clear" w:color="auto" w:fill="FFFFFF"/>
          <w:lang w:val="en-US" w:eastAsia="zh-CN" w:bidi="ar-SA"/>
        </w:rPr>
        <w:t>四是发挥一支新队伍作用。</w:t>
      </w:r>
      <w:r>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今年1月，新一轮协作干部已选配到位，增设了纪检、财务、审计等方面的干部，</w:t>
      </w:r>
      <w:r>
        <w:rPr>
          <w:rFonts w:hint="eastAsia" w:ascii="仿宋_GB2312" w:hAnsi="仿宋_GB2312" w:eastAsia="仿宋_GB2312" w:cs="仿宋_GB2312"/>
          <w:i w:val="0"/>
          <w:iCs w:val="0"/>
          <w:caps w:val="0"/>
          <w:color w:val="auto"/>
          <w:spacing w:val="0"/>
          <w:sz w:val="32"/>
          <w:szCs w:val="32"/>
          <w:shd w:val="clear" w:color="auto" w:fill="FFFFFF"/>
          <w:lang w:val="en-US" w:eastAsia="zh-CN"/>
        </w:rPr>
        <w:t>我们将充分发挥一支新队伍的作用，特别是专业人干专业事的作用，全面加强资金项目的规范监管，</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确保协作资金安全有效、协作项目顺利实施</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p>
    <w:p w14:paraId="342D9A62">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0" w:firstLineChars="200"/>
        <w:jc w:val="left"/>
        <w:textAlignment w:val="auto"/>
        <w:outlineLvl w:val="0"/>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四、到期拟延续计划</w:t>
      </w:r>
    </w:p>
    <w:p w14:paraId="46E32DF9">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0" w:firstLineChars="200"/>
        <w:jc w:val="left"/>
        <w:textAlignment w:val="auto"/>
        <w:outlineLvl w:val="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根据党中央要求，2020年打赢脱贫攻坚战后，从2021年起设立巩固拓展脱贫攻坚成果同乡村振兴有效衔接五年“过渡期”，过渡期内保持财政等支持政策总体稳定，过渡期后，根据中央新的要求，再行协商确定财政支持等政策。</w:t>
      </w:r>
    </w:p>
    <w:p w14:paraId="1D929FEE"/>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BABCFA-E1A4-4F67-9DBD-80C08323FC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8C9B7F5-54CC-46BC-BD49-BA5DA7E5CEE8}"/>
  </w:font>
  <w:font w:name="楷体_GB2312">
    <w:altName w:val="楷体"/>
    <w:panose1 w:val="02010609030101010101"/>
    <w:charset w:val="86"/>
    <w:family w:val="auto"/>
    <w:pitch w:val="default"/>
    <w:sig w:usb0="00000000" w:usb1="00000000" w:usb2="00000000" w:usb3="00000000" w:csb0="00040000" w:csb1="00000000"/>
    <w:embedRegular r:id="rId3" w:fontKey="{84188DC6-B163-49E8-B3FF-16E2639D20BE}"/>
  </w:font>
  <w:font w:name="楷体">
    <w:panose1 w:val="02010609060101010101"/>
    <w:charset w:val="86"/>
    <w:family w:val="auto"/>
    <w:pitch w:val="default"/>
    <w:sig w:usb0="800002BF" w:usb1="38CF7CFA" w:usb2="00000016" w:usb3="00000000" w:csb0="00040001" w:csb1="00000000"/>
    <w:embedRegular r:id="rId4" w:fontKey="{D570BB70-AA9A-43AF-9BDE-2AADC12D7E5F}"/>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5" w:fontKey="{79E7F609-8959-4561-B1F9-27E086D82802}"/>
  </w:font>
  <w:font w:name="仿宋_GB2312">
    <w:altName w:val="仿宋"/>
    <w:panose1 w:val="02010609030101010101"/>
    <w:charset w:val="86"/>
    <w:family w:val="auto"/>
    <w:pitch w:val="default"/>
    <w:sig w:usb0="00000000" w:usb1="00000000" w:usb2="00000000" w:usb3="00000000" w:csb0="00040000" w:csb1="00000000"/>
    <w:embedRegular r:id="rId6" w:fontKey="{6A2DE519-8DCB-4407-9345-715E06E2D0D5}"/>
  </w:font>
  <w:font w:name="华文仿宋">
    <w:panose1 w:val="02010600040101010101"/>
    <w:charset w:val="86"/>
    <w:family w:val="roman"/>
    <w:pitch w:val="default"/>
    <w:sig w:usb0="00000287" w:usb1="080F0000" w:usb2="00000000" w:usb3="00000000" w:csb0="0004009F" w:csb1="DFD70000"/>
    <w:embedRegular r:id="rId7" w:fontKey="{3647BBE6-C3FC-4F83-8486-F2CE0DD7D7F7}"/>
  </w:font>
  <w:font w:name="Bahnschrift SemiBold SemiCondensed">
    <w:panose1 w:val="020B0502040204020203"/>
    <w:charset w:val="00"/>
    <w:family w:val="auto"/>
    <w:pitch w:val="default"/>
    <w:sig w:usb0="A00002C7" w:usb1="00000002" w:usb2="00000000" w:usb3="00000000" w:csb0="2000019F" w:csb1="00000000"/>
    <w:embedRegular r:id="rId8" w:fontKey="{B2C4ADD8-7247-44AD-AE12-8F6693433B6C}"/>
  </w:font>
  <w:font w:name="仿宋">
    <w:panose1 w:val="02010609060101010101"/>
    <w:charset w:val="86"/>
    <w:family w:val="auto"/>
    <w:pitch w:val="default"/>
    <w:sig w:usb0="800002BF" w:usb1="38CF7CFA" w:usb2="00000016" w:usb3="00000000" w:csb0="00040001" w:csb1="00000000"/>
    <w:embedRegular r:id="rId9" w:fontKey="{F0029A71-31F1-4A61-9A0D-C58AAC052D94}"/>
  </w:font>
  <w:font w:name="FangSong_GB2312">
    <w:altName w:val="仿宋"/>
    <w:panose1 w:val="00000000000000000000"/>
    <w:charset w:val="86"/>
    <w:family w:val="auto"/>
    <w:pitch w:val="default"/>
    <w:sig w:usb0="00000000" w:usb1="00000000" w:usb2="00000000" w:usb3="00000000" w:csb0="00040000" w:csb1="00000000"/>
    <w:embedRegular r:id="rId10" w:fontKey="{47CBBE0A-D9A7-4C4E-9BB6-476654ADEB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FF61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FA1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03CE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ED733">
                          <w:pPr>
                            <w:pStyle w:val="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2ED733">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21125BEA"/>
    <w:rsid w:val="582E5629"/>
    <w:rsid w:val="5C2335A0"/>
    <w:rsid w:val="65FB6EB0"/>
    <w:rsid w:val="782B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eastAsia="楷体_GB2312"/>
      <w:b/>
      <w:bCs/>
      <w:kern w:val="44"/>
      <w:sz w:val="32"/>
      <w:szCs w:val="44"/>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unhideWhenUsed/>
    <w:qFormat/>
    <w:uiPriority w:val="39"/>
    <w:pPr>
      <w:spacing w:line="360" w:lineRule="auto"/>
      <w:ind w:left="420" w:leftChars="200"/>
    </w:pPr>
    <w:rPr>
      <w:rFonts w:ascii="Calibri" w:hAnsi="Calibri"/>
      <w:kern w:val="0"/>
      <w:szCs w:val="32"/>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3"/>
    <w:next w:val="1"/>
    <w:qFormat/>
    <w:uiPriority w:val="0"/>
    <w:pPr>
      <w:spacing w:line="360" w:lineRule="auto"/>
      <w:ind w:firstLine="880" w:firstLineChars="200"/>
      <w:jc w:val="left"/>
    </w:pPr>
    <w:rPr>
      <w:rFonts w:ascii="Cambria" w:hAnsi="Cambria" w:eastAsia="黑体"/>
      <w:b w:val="0"/>
      <w:bCs w:val="0"/>
      <w:kern w:val="2"/>
    </w:rPr>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8589</Words>
  <Characters>9343</Characters>
  <Lines>0</Lines>
  <Paragraphs>0</Paragraphs>
  <TotalTime>15</TotalTime>
  <ScaleCrop>false</ScaleCrop>
  <LinksUpToDate>false</LinksUpToDate>
  <CharactersWithSpaces>9363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2024-07-24T01:16:00Z</dcterms:created>
  <dc:creator>wuyin</dc:creator>
  <cp:lastModifiedBy>KiHwa</cp:lastModifiedBy>
  <dcterms:modified xsi:type="dcterms:W3CDTF">2025-05-28T01:40:17Z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57D26F4401BC4C5C832ADEB47C66556E_13</vt:lpwstr>
  </property>
  <property fmtid="{D5CDD505-2E9C-101B-9397-08002B2CF9AE}" pid="4" name="KSOTemplateDocerSaveRecord">
    <vt:lpwstr>eyJoZGlkIjoiNzdmOTU0NzZmNDI3NDNjYmVjZTJiN2NiNmE1NTUwZjciLCJ1c2VySWQiOiI0MDk1MTczODYifQ==</vt:lpwstr>
  </property>
</Properties>
</file>