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4B0EEA">
      <w:pPr>
        <w:adjustRightInd w:val="0"/>
        <w:snapToGrid w:val="0"/>
        <w:spacing w:before="0" w:beforeLines="0" w:afterLines="0" w:line="590" w:lineRule="exact"/>
        <w:ind w:left="0" w:firstLine="0" w:firstLineChars="0"/>
        <w:rPr>
          <w:rFonts w:hint="eastAsia" w:ascii="黑体" w:hAnsi="黑体" w:eastAsia="黑体" w:cs="黑体"/>
          <w:color w:val="auto"/>
          <w:kern w:val="0"/>
          <w:sz w:val="32"/>
          <w:szCs w:val="32"/>
          <w:lang w:val="en-US" w:eastAsia="zh-CN"/>
        </w:rPr>
      </w:pPr>
      <w:r>
        <w:rPr>
          <w:rFonts w:hint="eastAsia" w:ascii="黑体" w:hAnsi="黑体" w:eastAsia="黑体" w:cs="黑体"/>
          <w:color w:val="auto"/>
          <w:spacing w:val="0"/>
          <w:kern w:val="0"/>
          <w:sz w:val="32"/>
          <w:szCs w:val="32"/>
        </w:rPr>
        <w:t>附件1</w:t>
      </w:r>
    </w:p>
    <w:p w14:paraId="2813FADF">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p>
    <w:p w14:paraId="4E50A216">
      <w:pPr>
        <w:widowControl w:val="0"/>
        <w:kinsoku/>
        <w:autoSpaceDE/>
        <w:autoSpaceDN/>
        <w:adjustRightInd w:val="0"/>
        <w:snapToGrid w:val="0"/>
        <w:spacing w:beforeLines="0" w:afterLines="0" w:line="590" w:lineRule="exact"/>
        <w:ind w:firstLine="0" w:firstLineChars="0"/>
        <w:jc w:val="center"/>
        <w:textAlignment w:val="baseline"/>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spacing w:val="0"/>
          <w:kern w:val="0"/>
          <w:sz w:val="44"/>
          <w:szCs w:val="44"/>
        </w:rPr>
        <w:t>广东省沿海渔港等级认定标准</w:t>
      </w:r>
    </w:p>
    <w:p w14:paraId="3891219E">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Cs w:val="32"/>
        </w:rPr>
      </w:pPr>
    </w:p>
    <w:p w14:paraId="59840027">
      <w:pPr>
        <w:adjustRightInd w:val="0"/>
        <w:snapToGrid w:val="0"/>
        <w:spacing w:before="0"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0"/>
          <w:kern w:val="0"/>
          <w:sz w:val="32"/>
          <w:szCs w:val="32"/>
        </w:rPr>
        <w:t>1 总则</w:t>
      </w:r>
    </w:p>
    <w:p w14:paraId="33206B6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0"/>
          <w:kern w:val="0"/>
          <w:sz w:val="32"/>
          <w:szCs w:val="32"/>
        </w:rPr>
        <w:t xml:space="preserve">1.1  </w:t>
      </w:r>
      <w:r>
        <w:rPr>
          <w:rFonts w:hint="eastAsia" w:ascii="仿宋_GB2312" w:hAnsi="仿宋_GB2312" w:eastAsia="仿宋_GB2312" w:cs="仿宋_GB2312"/>
          <w:color w:val="auto"/>
          <w:kern w:val="0"/>
          <w:sz w:val="32"/>
          <w:szCs w:val="32"/>
        </w:rPr>
        <w:t>为加强我省沿海渔港等级认定和管理，提升渔港服务功能，规范渔港管理，保障渔业高质量发展，</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color w:val="auto"/>
          <w:kern w:val="0"/>
          <w:sz w:val="32"/>
          <w:szCs w:val="32"/>
        </w:rPr>
        <w:t>《中华人民共和国渔业法》《中华人民共和国港口法》《中华人民共和国渔港水域交通安全管理条例》和《农业农村部办公厅关于印发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沿海渔港等级认定办法（试行）</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的通知》（农办渔〔2023〕27号）等有关规定要求，制定本标准。</w:t>
      </w:r>
    </w:p>
    <w:p w14:paraId="0EB769B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  本标准适用于我省所有沿海渔港的等级认定。</w:t>
      </w:r>
    </w:p>
    <w:p w14:paraId="3FB8D478">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本标准所称沿海渔港是指主要为海洋渔业生产服务和供渔业船舶停泊、避风、装卸渔获物和补充渔需物资的人工港口或自然港湾</w:t>
      </w:r>
      <w:r>
        <w:rPr>
          <w:rFonts w:hint="eastAsia" w:ascii="仿宋_GB2312" w:hAnsi="仿宋_GB2312" w:eastAsia="仿宋_GB2312" w:cs="仿宋_GB2312"/>
          <w:color w:val="auto"/>
          <w:kern w:val="0"/>
          <w:sz w:val="32"/>
          <w:szCs w:val="32"/>
          <w:lang w:val="en-US" w:eastAsia="zh-CN"/>
        </w:rPr>
        <w:t>，包括综合性港口中渔业专用的码头、渔业专用的水域和渔船专用的锚地</w:t>
      </w:r>
      <w:r>
        <w:rPr>
          <w:rFonts w:hint="eastAsia" w:ascii="仿宋_GB2312" w:hAnsi="仿宋_GB2312" w:eastAsia="仿宋_GB2312" w:cs="仿宋_GB2312"/>
          <w:color w:val="auto"/>
          <w:kern w:val="0"/>
          <w:sz w:val="32"/>
          <w:szCs w:val="32"/>
        </w:rPr>
        <w:t>。</w:t>
      </w:r>
    </w:p>
    <w:p w14:paraId="069BBC8A">
      <w:pPr>
        <w:adjustRightInd w:val="0"/>
        <w:snapToGrid w:val="0"/>
        <w:spacing w:before="0" w:beforeLines="0" w:afterLines="0" w:line="590" w:lineRule="exact"/>
        <w:ind w:lef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0"/>
          <w:kern w:val="0"/>
          <w:sz w:val="32"/>
          <w:szCs w:val="32"/>
        </w:rPr>
        <w:t>2 渔港分级</w:t>
      </w:r>
    </w:p>
    <w:p w14:paraId="4BD71872">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2.1  沿海渔港等级按照渔港基础工作、渔港规模、服务和监管能力等条件综合认定。</w:t>
      </w:r>
    </w:p>
    <w:p w14:paraId="38B671B7">
      <w:pPr>
        <w:adjustRightInd w:val="0"/>
        <w:snapToGrid w:val="0"/>
        <w:spacing w:before="0" w:beforeLines="0" w:afterLines="0" w:line="590" w:lineRule="exact"/>
        <w:ind w:left="0" w:firstLine="640" w:firstLineChars="200"/>
        <w:textAlignment w:val="baseline"/>
        <w:rPr>
          <w:rFonts w:hint="eastAsia" w:ascii="仿宋_GB2312" w:hAnsi="仿宋_GB2312" w:eastAsia="仿宋_GB2312" w:cs="仿宋_GB2312"/>
          <w:color w:val="auto"/>
          <w:spacing w:val="0"/>
          <w:kern w:val="0"/>
          <w:sz w:val="32"/>
          <w:szCs w:val="32"/>
        </w:rPr>
      </w:pPr>
      <w:r>
        <w:rPr>
          <w:rFonts w:hint="eastAsia" w:ascii="仿宋_GB2312" w:hAnsi="仿宋_GB2312" w:eastAsia="仿宋_GB2312" w:cs="仿宋_GB2312"/>
          <w:color w:val="auto"/>
          <w:kern w:val="0"/>
          <w:sz w:val="32"/>
          <w:szCs w:val="32"/>
        </w:rPr>
        <w:t>2.2  渔港分为“中心、一级、二级、三级渔港和三级以下渔港”五个等级。</w:t>
      </w:r>
    </w:p>
    <w:p w14:paraId="0677628E">
      <w:pPr>
        <w:adjustRightInd w:val="0"/>
        <w:snapToGrid w:val="0"/>
        <w:spacing w:before="0" w:beforeLines="0" w:afterLines="0" w:line="590" w:lineRule="exact"/>
        <w:ind w:left="0"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0"/>
          <w:kern w:val="0"/>
          <w:sz w:val="32"/>
          <w:szCs w:val="32"/>
        </w:rPr>
        <w:t>3 等级认定指标体系</w:t>
      </w:r>
    </w:p>
    <w:p w14:paraId="74610F65">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3.1  指标体系</w:t>
      </w:r>
      <w:r>
        <w:rPr>
          <w:rFonts w:hint="eastAsia" w:ascii="仿宋_GB2312" w:hAnsi="仿宋_GB2312" w:eastAsia="仿宋_GB2312" w:cs="仿宋_GB2312"/>
          <w:color w:val="auto"/>
          <w:kern w:val="0"/>
          <w:sz w:val="32"/>
          <w:szCs w:val="32"/>
          <w:lang w:eastAsia="zh-CN"/>
        </w:rPr>
        <w:t>。</w:t>
      </w:r>
    </w:p>
    <w:p w14:paraId="011AF53A">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沿海渔港等级认定指标体系由4个一级指标、16个二级指标组成。</w:t>
      </w:r>
    </w:p>
    <w:p w14:paraId="79E40A8B">
      <w:pPr>
        <w:adjustRightInd w:val="0"/>
        <w:snapToGrid w:val="0"/>
        <w:spacing w:beforeLines="0" w:afterLines="0" w:line="590" w:lineRule="exact"/>
        <w:ind w:firstLine="0" w:firstLineChars="0"/>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pacing w:val="0"/>
          <w:kern w:val="0"/>
          <w:sz w:val="28"/>
          <w:szCs w:val="28"/>
        </w:rPr>
        <w:t>表1  沿海渔港等级认定指标体系</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91"/>
        <w:gridCol w:w="5461"/>
      </w:tblGrid>
      <w:tr w14:paraId="2EE5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noWrap w:val="0"/>
            <w:vAlign w:val="center"/>
          </w:tcPr>
          <w:p w14:paraId="129C479C">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一级指标</w:t>
            </w:r>
          </w:p>
        </w:tc>
        <w:tc>
          <w:tcPr>
            <w:tcW w:w="3084" w:type="pct"/>
            <w:noWrap w:val="0"/>
            <w:vAlign w:val="center"/>
          </w:tcPr>
          <w:p w14:paraId="49A77D83">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r>
      <w:tr w14:paraId="5381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restart"/>
            <w:noWrap w:val="0"/>
            <w:vAlign w:val="center"/>
          </w:tcPr>
          <w:p w14:paraId="2A114F9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基础指标</w:t>
            </w:r>
          </w:p>
        </w:tc>
        <w:tc>
          <w:tcPr>
            <w:tcW w:w="3084" w:type="pct"/>
            <w:noWrap w:val="0"/>
            <w:vAlign w:val="center"/>
          </w:tcPr>
          <w:p w14:paraId="128367C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渔港港章、港界*</w:t>
            </w:r>
          </w:p>
        </w:tc>
      </w:tr>
      <w:tr w14:paraId="0DC6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6C10DD5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385EEB4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界限标识*</w:t>
            </w:r>
          </w:p>
        </w:tc>
      </w:tr>
      <w:tr w14:paraId="2DA1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17AECF3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39C0D1E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权属清单*</w:t>
            </w:r>
          </w:p>
        </w:tc>
      </w:tr>
      <w:tr w14:paraId="7771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restart"/>
            <w:noWrap w:val="0"/>
            <w:vAlign w:val="center"/>
          </w:tcPr>
          <w:p w14:paraId="634F7A3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规模指标</w:t>
            </w:r>
          </w:p>
        </w:tc>
        <w:tc>
          <w:tcPr>
            <w:tcW w:w="3084" w:type="pct"/>
            <w:noWrap w:val="0"/>
            <w:vAlign w:val="center"/>
          </w:tcPr>
          <w:p w14:paraId="3AAD1DA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码头长度*</w:t>
            </w:r>
          </w:p>
        </w:tc>
      </w:tr>
      <w:tr w14:paraId="34B0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161B1DE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206285A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水域面积*</w:t>
            </w:r>
          </w:p>
        </w:tc>
      </w:tr>
      <w:tr w14:paraId="0D1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3B6AD3D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4C6C15F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陆域面积</w:t>
            </w:r>
          </w:p>
        </w:tc>
      </w:tr>
      <w:tr w14:paraId="5A4B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restart"/>
            <w:noWrap w:val="0"/>
            <w:vAlign w:val="center"/>
          </w:tcPr>
          <w:p w14:paraId="6347385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服务能力指标</w:t>
            </w:r>
          </w:p>
        </w:tc>
        <w:tc>
          <w:tcPr>
            <w:tcW w:w="3084" w:type="pct"/>
            <w:noWrap w:val="0"/>
            <w:vAlign w:val="center"/>
          </w:tcPr>
          <w:p w14:paraId="4DB32B2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可靠泊渔船能力</w:t>
            </w:r>
          </w:p>
        </w:tc>
      </w:tr>
      <w:tr w14:paraId="0E23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118D2D9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45D61F4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可容纳锚泊渔船数量*</w:t>
            </w:r>
          </w:p>
        </w:tc>
      </w:tr>
      <w:tr w14:paraId="4E1F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25287F5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17BC8DB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渔获物年卸港量*</w:t>
            </w:r>
          </w:p>
        </w:tc>
      </w:tr>
      <w:tr w14:paraId="1E60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restart"/>
            <w:noWrap w:val="0"/>
            <w:vAlign w:val="center"/>
          </w:tcPr>
          <w:p w14:paraId="1524D71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监管能力指标</w:t>
            </w:r>
          </w:p>
        </w:tc>
        <w:tc>
          <w:tcPr>
            <w:tcW w:w="3084" w:type="pct"/>
            <w:noWrap w:val="0"/>
            <w:vAlign w:val="center"/>
          </w:tcPr>
          <w:p w14:paraId="4E8105E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渔港监督管理机构*</w:t>
            </w:r>
          </w:p>
        </w:tc>
      </w:tr>
      <w:tr w14:paraId="4408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797580A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06A9270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港务管理机构*</w:t>
            </w:r>
          </w:p>
        </w:tc>
      </w:tr>
      <w:tr w14:paraId="4F7B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20266F6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7CD31FB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渔港综合管理服务中心</w:t>
            </w:r>
          </w:p>
        </w:tc>
      </w:tr>
      <w:tr w14:paraId="52F0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2484908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1649DA5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渔船动态监控管理*</w:t>
            </w:r>
          </w:p>
        </w:tc>
      </w:tr>
      <w:tr w14:paraId="4367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62EA736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65906FA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渔港视频监控</w:t>
            </w:r>
          </w:p>
        </w:tc>
      </w:tr>
      <w:tr w14:paraId="059B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12E9896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1D5C38A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污染防治设施</w:t>
            </w:r>
          </w:p>
        </w:tc>
      </w:tr>
      <w:tr w14:paraId="4E71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1915" w:type="pct"/>
            <w:vMerge w:val="continue"/>
            <w:noWrap w:val="0"/>
            <w:vAlign w:val="center"/>
          </w:tcPr>
          <w:p w14:paraId="2499170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084" w:type="pct"/>
            <w:noWrap w:val="0"/>
            <w:vAlign w:val="center"/>
          </w:tcPr>
          <w:p w14:paraId="43C5DFB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应急管理设施</w:t>
            </w:r>
          </w:p>
        </w:tc>
      </w:tr>
    </w:tbl>
    <w:p w14:paraId="698B0A65">
      <w:pPr>
        <w:adjustRightInd w:val="0"/>
        <w:snapToGrid w:val="0"/>
        <w:spacing w:before="0" w:beforeLines="0" w:afterLines="0" w:line="590" w:lineRule="exact"/>
        <w:ind w:left="0" w:firstLine="0" w:firstLineChars="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spacing w:val="0"/>
          <w:kern w:val="0"/>
          <w:sz w:val="28"/>
          <w:szCs w:val="28"/>
        </w:rPr>
        <w:t>注：标*分值指标为约束性指标</w:t>
      </w:r>
    </w:p>
    <w:p w14:paraId="6BC1329E">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其中，“渔港港章港界、界限标识、权属清单、码头长度、水域面积、可容纳锚泊渔船数量、渔获物年卸港量、渔港监督管理机构、港务管理机构、渔船动态监控管理”等10个二级指标为约束性指标。</w:t>
      </w:r>
    </w:p>
    <w:p w14:paraId="04B1CA48">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约束性指标不满足其申报渔港等级标准的，不能认定其渔港等级。</w:t>
      </w:r>
    </w:p>
    <w:p w14:paraId="57897B0B">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3.2  基础指标</w:t>
      </w:r>
      <w:r>
        <w:rPr>
          <w:rFonts w:hint="eastAsia" w:ascii="仿宋_GB2312" w:hAnsi="仿宋_GB2312" w:eastAsia="仿宋_GB2312" w:cs="仿宋_GB2312"/>
          <w:snapToGrid w:val="0"/>
          <w:color w:val="auto"/>
          <w:kern w:val="0"/>
          <w:sz w:val="32"/>
          <w:szCs w:val="32"/>
          <w:lang w:eastAsia="zh-CN"/>
        </w:rPr>
        <w:t>。</w:t>
      </w:r>
    </w:p>
    <w:p w14:paraId="0C54330D">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基础指标包括渔港港章、港界、界限标识和权属清单。</w:t>
      </w:r>
    </w:p>
    <w:p w14:paraId="245530C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3.2.1  渔港港章、港界</w:t>
      </w:r>
      <w:r>
        <w:rPr>
          <w:rFonts w:hint="eastAsia" w:ascii="仿宋_GB2312" w:hAnsi="仿宋_GB2312" w:eastAsia="仿宋_GB2312" w:cs="仿宋_GB2312"/>
          <w:snapToGrid w:val="0"/>
          <w:color w:val="auto"/>
          <w:kern w:val="0"/>
          <w:sz w:val="32"/>
          <w:szCs w:val="32"/>
          <w:lang w:eastAsia="zh-CN"/>
        </w:rPr>
        <w:t>。</w:t>
      </w:r>
    </w:p>
    <w:p w14:paraId="1BABD1A2">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渔港港章、港界应由县级及以上人民政府发布。</w:t>
      </w:r>
    </w:p>
    <w:p w14:paraId="3BC92CA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渔港港章应当包括对渔港概况</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渔港位置、自然条件、范围、水域、陆域、主要码头设施与设备</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渔港管理机构、公用设施及管理、船舶管理、渔获物管理、渔港经营与服务、渔港安全与环境保护、渔港应急事件处理、禁止与限制性规定等情况的说明，及本渔港贯彻执行有关渔港管理的法律、法规及渔业行政主管部门有关规定的具体措施。</w:t>
      </w:r>
    </w:p>
    <w:p w14:paraId="57788D50">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渔港港界应清晰反映渔港边界，港界图应以渔港总体平面布置图或渔港总体规划布局图为基础绘制。渔港港界应与港章中的渔港水陆域范围边界一致。</w:t>
      </w:r>
    </w:p>
    <w:p w14:paraId="7560A394">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3.2.2  界限标识</w:t>
      </w:r>
      <w:r>
        <w:rPr>
          <w:rFonts w:hint="eastAsia" w:ascii="仿宋_GB2312" w:hAnsi="仿宋_GB2312" w:eastAsia="仿宋_GB2312" w:cs="仿宋_GB2312"/>
          <w:snapToGrid w:val="0"/>
          <w:color w:val="auto"/>
          <w:kern w:val="0"/>
          <w:sz w:val="32"/>
          <w:szCs w:val="32"/>
          <w:lang w:eastAsia="zh-CN"/>
        </w:rPr>
        <w:t>。</w:t>
      </w:r>
    </w:p>
    <w:p w14:paraId="23864288">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为便于渔港管理，渔港界限应清晰，渔港陆域应设置标识牌或界碑，渔港水域应设置标识浮标或电子围栏。</w:t>
      </w:r>
    </w:p>
    <w:p w14:paraId="53D16393">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3.2.3  权属清单</w:t>
      </w:r>
      <w:r>
        <w:rPr>
          <w:rFonts w:hint="eastAsia" w:ascii="仿宋_GB2312" w:hAnsi="仿宋_GB2312" w:eastAsia="仿宋_GB2312" w:cs="仿宋_GB2312"/>
          <w:snapToGrid w:val="0"/>
          <w:color w:val="auto"/>
          <w:kern w:val="0"/>
          <w:sz w:val="32"/>
          <w:szCs w:val="32"/>
          <w:lang w:eastAsia="zh-CN"/>
        </w:rPr>
        <w:t>。</w:t>
      </w:r>
    </w:p>
    <w:p w14:paraId="24378406">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渔港等级认定需提供清晰、完整反映港界内渔港权属关系的清单。权属清单应包含港界内所有建筑物和构筑物的所有权、使用权、管理权和经营权的权属情况。</w:t>
      </w:r>
    </w:p>
    <w:p w14:paraId="02AF8B54">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3.3  规模指标</w:t>
      </w:r>
      <w:r>
        <w:rPr>
          <w:rFonts w:hint="eastAsia" w:ascii="仿宋_GB2312" w:hAnsi="仿宋_GB2312" w:eastAsia="仿宋_GB2312" w:cs="仿宋_GB2312"/>
          <w:snapToGrid w:val="0"/>
          <w:color w:val="auto"/>
          <w:kern w:val="0"/>
          <w:sz w:val="32"/>
          <w:szCs w:val="32"/>
          <w:lang w:eastAsia="zh-CN"/>
        </w:rPr>
        <w:t>。</w:t>
      </w:r>
    </w:p>
    <w:p w14:paraId="54F02F29">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规模指标包括码头长度、水域面积和陆域面积。</w:t>
      </w:r>
    </w:p>
    <w:p w14:paraId="29F751F3">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3.3.1  渔业码头长度</w:t>
      </w:r>
      <w:r>
        <w:rPr>
          <w:rFonts w:hint="eastAsia" w:ascii="仿宋_GB2312" w:hAnsi="仿宋_GB2312" w:eastAsia="仿宋_GB2312" w:cs="仿宋_GB2312"/>
          <w:snapToGrid w:val="0"/>
          <w:color w:val="auto"/>
          <w:kern w:val="0"/>
          <w:sz w:val="32"/>
          <w:szCs w:val="32"/>
          <w:lang w:eastAsia="zh-CN"/>
        </w:rPr>
        <w:t>。</w:t>
      </w:r>
    </w:p>
    <w:p w14:paraId="60463BF4">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各等级渔港的码头长度指标参数见表2。</w:t>
      </w:r>
    </w:p>
    <w:p w14:paraId="5960F201">
      <w:pPr>
        <w:adjustRightInd w:val="0"/>
        <w:snapToGrid w:val="0"/>
        <w:spacing w:beforeLines="0" w:afterLines="0" w:line="590" w:lineRule="exact"/>
        <w:ind w:firstLine="0" w:firstLineChars="0"/>
        <w:jc w:val="center"/>
        <w:rPr>
          <w:rFonts w:hint="eastAsia" w:ascii="仿宋_GB2312" w:hAnsi="仿宋_GB2312" w:eastAsia="仿宋_GB2312" w:cs="仿宋_GB2312"/>
          <w:snapToGrid w:val="0"/>
          <w:color w:val="auto"/>
          <w:spacing w:val="0"/>
          <w:kern w:val="0"/>
          <w:sz w:val="28"/>
          <w:szCs w:val="28"/>
        </w:rPr>
      </w:pPr>
      <w:r>
        <w:rPr>
          <w:rFonts w:hint="eastAsia" w:ascii="仿宋_GB2312" w:hAnsi="仿宋_GB2312" w:eastAsia="仿宋_GB2312" w:cs="仿宋_GB2312"/>
          <w:snapToGrid w:val="0"/>
          <w:color w:val="auto"/>
          <w:spacing w:val="0"/>
          <w:kern w:val="0"/>
          <w:sz w:val="28"/>
          <w:szCs w:val="28"/>
        </w:rPr>
        <w:t>表2  码头长度指标参数</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91"/>
        <w:gridCol w:w="1307"/>
        <w:gridCol w:w="1328"/>
        <w:gridCol w:w="1303"/>
        <w:gridCol w:w="1110"/>
        <w:gridCol w:w="2111"/>
      </w:tblGrid>
      <w:tr w14:paraId="308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5" w:type="pct"/>
            <w:noWrap w:val="0"/>
            <w:vAlign w:val="center"/>
          </w:tcPr>
          <w:p w14:paraId="21066122">
            <w:pPr>
              <w:adjustRightInd w:val="0"/>
              <w:snapToGrid w:val="0"/>
              <w:spacing w:before="0" w:beforeLines="0" w:afterLines="0" w:line="240" w:lineRule="auto"/>
              <w:ind w:left="0" w:firstLine="0" w:firstLineChars="0"/>
              <w:jc w:val="center"/>
              <w:rPr>
                <w:rFonts w:hint="eastAsia" w:ascii="黑体" w:hAnsi="黑体" w:eastAsia="黑体" w:cs="黑体"/>
                <w:snapToGrid w:val="0"/>
                <w:color w:val="auto"/>
                <w:kern w:val="0"/>
                <w:sz w:val="24"/>
                <w:szCs w:val="24"/>
              </w:rPr>
            </w:pPr>
            <w:r>
              <w:rPr>
                <w:rFonts w:hint="eastAsia" w:ascii="黑体" w:hAnsi="黑体" w:eastAsia="黑体" w:cs="黑体"/>
                <w:b w:val="0"/>
                <w:bCs w:val="0"/>
                <w:snapToGrid w:val="0"/>
                <w:color w:val="auto"/>
                <w:spacing w:val="0"/>
                <w:kern w:val="0"/>
                <w:sz w:val="24"/>
                <w:szCs w:val="24"/>
              </w:rPr>
              <w:t>二级指标</w:t>
            </w:r>
          </w:p>
        </w:tc>
        <w:tc>
          <w:tcPr>
            <w:tcW w:w="738" w:type="pct"/>
            <w:noWrap w:val="0"/>
            <w:vAlign w:val="center"/>
          </w:tcPr>
          <w:p w14:paraId="11AD3CD1">
            <w:pPr>
              <w:adjustRightInd w:val="0"/>
              <w:snapToGrid w:val="0"/>
              <w:spacing w:before="0" w:beforeLines="0" w:afterLines="0" w:line="240" w:lineRule="auto"/>
              <w:ind w:left="0" w:firstLine="0" w:firstLineChars="0"/>
              <w:jc w:val="center"/>
              <w:rPr>
                <w:rFonts w:hint="eastAsia" w:ascii="黑体" w:hAnsi="黑体" w:eastAsia="黑体" w:cs="黑体"/>
                <w:snapToGrid w:val="0"/>
                <w:color w:val="auto"/>
                <w:kern w:val="0"/>
                <w:sz w:val="24"/>
                <w:szCs w:val="24"/>
              </w:rPr>
            </w:pPr>
            <w:r>
              <w:rPr>
                <w:rFonts w:hint="eastAsia" w:ascii="黑体" w:hAnsi="黑体" w:eastAsia="黑体" w:cs="黑体"/>
                <w:b w:val="0"/>
                <w:bCs w:val="0"/>
                <w:snapToGrid w:val="0"/>
                <w:color w:val="auto"/>
                <w:spacing w:val="0"/>
                <w:kern w:val="0"/>
                <w:sz w:val="24"/>
                <w:szCs w:val="24"/>
              </w:rPr>
              <w:t>中心</w:t>
            </w:r>
          </w:p>
        </w:tc>
        <w:tc>
          <w:tcPr>
            <w:tcW w:w="750" w:type="pct"/>
            <w:noWrap w:val="0"/>
            <w:vAlign w:val="center"/>
          </w:tcPr>
          <w:p w14:paraId="27247B72">
            <w:pPr>
              <w:adjustRightInd w:val="0"/>
              <w:snapToGrid w:val="0"/>
              <w:spacing w:before="0" w:beforeLines="0" w:afterLines="0" w:line="240" w:lineRule="auto"/>
              <w:ind w:left="0" w:firstLine="0" w:firstLineChars="0"/>
              <w:jc w:val="center"/>
              <w:rPr>
                <w:rFonts w:hint="eastAsia" w:ascii="黑体" w:hAnsi="黑体" w:eastAsia="黑体" w:cs="黑体"/>
                <w:snapToGrid w:val="0"/>
                <w:color w:val="auto"/>
                <w:kern w:val="0"/>
                <w:sz w:val="24"/>
                <w:szCs w:val="24"/>
              </w:rPr>
            </w:pPr>
            <w:r>
              <w:rPr>
                <w:rFonts w:hint="eastAsia" w:ascii="黑体" w:hAnsi="黑体" w:eastAsia="黑体" w:cs="黑体"/>
                <w:b w:val="0"/>
                <w:bCs w:val="0"/>
                <w:snapToGrid w:val="0"/>
                <w:color w:val="auto"/>
                <w:spacing w:val="0"/>
                <w:kern w:val="0"/>
                <w:sz w:val="24"/>
                <w:szCs w:val="24"/>
              </w:rPr>
              <w:t>一级</w:t>
            </w:r>
          </w:p>
        </w:tc>
        <w:tc>
          <w:tcPr>
            <w:tcW w:w="736" w:type="pct"/>
            <w:noWrap w:val="0"/>
            <w:vAlign w:val="center"/>
          </w:tcPr>
          <w:p w14:paraId="36D0D9E4">
            <w:pPr>
              <w:adjustRightInd w:val="0"/>
              <w:snapToGrid w:val="0"/>
              <w:spacing w:before="0" w:beforeLines="0" w:afterLines="0" w:line="240" w:lineRule="auto"/>
              <w:ind w:left="0" w:firstLine="0" w:firstLineChars="0"/>
              <w:jc w:val="center"/>
              <w:rPr>
                <w:rFonts w:hint="eastAsia" w:ascii="黑体" w:hAnsi="黑体" w:eastAsia="黑体" w:cs="黑体"/>
                <w:snapToGrid w:val="0"/>
                <w:color w:val="auto"/>
                <w:kern w:val="0"/>
                <w:sz w:val="24"/>
                <w:szCs w:val="24"/>
              </w:rPr>
            </w:pPr>
            <w:r>
              <w:rPr>
                <w:rFonts w:hint="eastAsia" w:ascii="黑体" w:hAnsi="黑体" w:eastAsia="黑体" w:cs="黑体"/>
                <w:b w:val="0"/>
                <w:bCs w:val="0"/>
                <w:snapToGrid w:val="0"/>
                <w:color w:val="auto"/>
                <w:spacing w:val="0"/>
                <w:kern w:val="0"/>
                <w:sz w:val="24"/>
                <w:szCs w:val="24"/>
              </w:rPr>
              <w:t>二级</w:t>
            </w:r>
          </w:p>
        </w:tc>
        <w:tc>
          <w:tcPr>
            <w:tcW w:w="627" w:type="pct"/>
            <w:noWrap w:val="0"/>
            <w:vAlign w:val="center"/>
          </w:tcPr>
          <w:p w14:paraId="1856B18A">
            <w:pPr>
              <w:adjustRightInd w:val="0"/>
              <w:snapToGrid w:val="0"/>
              <w:spacing w:before="0" w:beforeLines="0" w:afterLines="0" w:line="240" w:lineRule="auto"/>
              <w:ind w:left="0" w:firstLine="0" w:firstLineChars="0"/>
              <w:jc w:val="center"/>
              <w:rPr>
                <w:rFonts w:hint="eastAsia" w:ascii="黑体" w:hAnsi="黑体" w:eastAsia="黑体" w:cs="黑体"/>
                <w:snapToGrid w:val="0"/>
                <w:color w:val="auto"/>
                <w:kern w:val="0"/>
                <w:sz w:val="24"/>
                <w:szCs w:val="24"/>
              </w:rPr>
            </w:pPr>
            <w:r>
              <w:rPr>
                <w:rFonts w:hint="eastAsia" w:ascii="黑体" w:hAnsi="黑体" w:eastAsia="黑体" w:cs="黑体"/>
                <w:b w:val="0"/>
                <w:bCs w:val="0"/>
                <w:snapToGrid w:val="0"/>
                <w:color w:val="auto"/>
                <w:spacing w:val="0"/>
                <w:kern w:val="0"/>
                <w:sz w:val="24"/>
                <w:szCs w:val="24"/>
              </w:rPr>
              <w:t>三级</w:t>
            </w:r>
          </w:p>
        </w:tc>
        <w:tc>
          <w:tcPr>
            <w:tcW w:w="1192" w:type="pct"/>
            <w:noWrap w:val="0"/>
            <w:vAlign w:val="center"/>
          </w:tcPr>
          <w:p w14:paraId="5FB5E302">
            <w:pPr>
              <w:adjustRightInd w:val="0"/>
              <w:snapToGrid w:val="0"/>
              <w:spacing w:before="0" w:beforeLines="0" w:afterLines="0" w:line="240" w:lineRule="auto"/>
              <w:ind w:left="0" w:firstLine="0" w:firstLineChars="0"/>
              <w:jc w:val="center"/>
              <w:rPr>
                <w:rFonts w:hint="eastAsia" w:ascii="黑体" w:hAnsi="黑体" w:eastAsia="黑体" w:cs="黑体"/>
                <w:snapToGrid w:val="0"/>
                <w:color w:val="auto"/>
                <w:kern w:val="0"/>
                <w:sz w:val="24"/>
                <w:szCs w:val="24"/>
              </w:rPr>
            </w:pPr>
            <w:r>
              <w:rPr>
                <w:rFonts w:hint="eastAsia" w:ascii="黑体" w:hAnsi="黑体" w:eastAsia="黑体" w:cs="黑体"/>
                <w:b w:val="0"/>
                <w:bCs w:val="0"/>
                <w:snapToGrid w:val="0"/>
                <w:color w:val="auto"/>
                <w:spacing w:val="0"/>
                <w:kern w:val="0"/>
                <w:sz w:val="24"/>
                <w:szCs w:val="24"/>
              </w:rPr>
              <w:t>三级以下</w:t>
            </w:r>
          </w:p>
        </w:tc>
      </w:tr>
      <w:tr w14:paraId="781D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55" w:type="pct"/>
            <w:noWrap w:val="0"/>
            <w:vAlign w:val="center"/>
          </w:tcPr>
          <w:p w14:paraId="1BB6D97F">
            <w:pPr>
              <w:adjustRightInd w:val="0"/>
              <w:snapToGrid w:val="0"/>
              <w:spacing w:before="0" w:beforeLines="0" w:afterLines="0" w:line="240" w:lineRule="auto"/>
              <w:ind w:left="0" w:firstLine="0" w:firstLineChars="0"/>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snapToGrid w:val="0"/>
                <w:color w:val="auto"/>
                <w:spacing w:val="0"/>
                <w:kern w:val="0"/>
                <w:sz w:val="24"/>
                <w:szCs w:val="24"/>
              </w:rPr>
              <w:t>码头长度</w:t>
            </w:r>
          </w:p>
        </w:tc>
        <w:tc>
          <w:tcPr>
            <w:tcW w:w="738" w:type="pct"/>
            <w:noWrap w:val="0"/>
            <w:vAlign w:val="center"/>
          </w:tcPr>
          <w:p w14:paraId="53587D37">
            <w:pPr>
              <w:adjustRightInd w:val="0"/>
              <w:snapToGrid w:val="0"/>
              <w:spacing w:before="0" w:beforeLines="0" w:afterLines="0" w:line="240" w:lineRule="auto"/>
              <w:ind w:left="0" w:firstLine="0" w:firstLineChars="0"/>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snapToGrid w:val="0"/>
                <w:color w:val="auto"/>
                <w:spacing w:val="0"/>
                <w:kern w:val="0"/>
                <w:sz w:val="24"/>
                <w:szCs w:val="24"/>
              </w:rPr>
              <w:t>≥600m</w:t>
            </w:r>
          </w:p>
        </w:tc>
        <w:tc>
          <w:tcPr>
            <w:tcW w:w="750" w:type="pct"/>
            <w:noWrap w:val="0"/>
            <w:vAlign w:val="center"/>
          </w:tcPr>
          <w:p w14:paraId="22AF499E">
            <w:pPr>
              <w:adjustRightInd w:val="0"/>
              <w:snapToGrid w:val="0"/>
              <w:spacing w:before="0" w:beforeLines="0" w:afterLines="0" w:line="240" w:lineRule="auto"/>
              <w:ind w:left="0" w:firstLine="0" w:firstLineChars="0"/>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snapToGrid w:val="0"/>
                <w:color w:val="auto"/>
                <w:spacing w:val="0"/>
                <w:kern w:val="0"/>
                <w:sz w:val="24"/>
                <w:szCs w:val="24"/>
              </w:rPr>
              <w:t>≥400m</w:t>
            </w:r>
          </w:p>
        </w:tc>
        <w:tc>
          <w:tcPr>
            <w:tcW w:w="736" w:type="pct"/>
            <w:noWrap w:val="0"/>
            <w:vAlign w:val="center"/>
          </w:tcPr>
          <w:p w14:paraId="5B80BFDA">
            <w:pPr>
              <w:adjustRightInd w:val="0"/>
              <w:snapToGrid w:val="0"/>
              <w:spacing w:before="0" w:beforeLines="0" w:afterLines="0" w:line="240" w:lineRule="auto"/>
              <w:ind w:left="0" w:firstLine="0" w:firstLineChars="0"/>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snapToGrid w:val="0"/>
                <w:color w:val="auto"/>
                <w:spacing w:val="0"/>
                <w:kern w:val="0"/>
                <w:sz w:val="24"/>
                <w:szCs w:val="24"/>
              </w:rPr>
              <w:t>≥150m</w:t>
            </w:r>
          </w:p>
        </w:tc>
        <w:tc>
          <w:tcPr>
            <w:tcW w:w="627" w:type="pct"/>
            <w:noWrap w:val="0"/>
            <w:vAlign w:val="center"/>
          </w:tcPr>
          <w:p w14:paraId="3FCAFB6B">
            <w:pPr>
              <w:adjustRightInd w:val="0"/>
              <w:snapToGrid w:val="0"/>
              <w:spacing w:before="0" w:beforeLines="0" w:afterLines="0" w:line="240" w:lineRule="auto"/>
              <w:ind w:left="0" w:firstLine="0" w:firstLineChars="0"/>
              <w:jc w:val="center"/>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snapToGrid w:val="0"/>
                <w:color w:val="auto"/>
                <w:spacing w:val="0"/>
                <w:kern w:val="0"/>
                <w:sz w:val="24"/>
                <w:szCs w:val="24"/>
              </w:rPr>
              <w:t>≥30m</w:t>
            </w:r>
          </w:p>
        </w:tc>
        <w:tc>
          <w:tcPr>
            <w:tcW w:w="1192" w:type="pct"/>
            <w:noWrap w:val="0"/>
            <w:vAlign w:val="center"/>
          </w:tcPr>
          <w:p w14:paraId="0F12DC9F">
            <w:pPr>
              <w:adjustRightInd w:val="0"/>
              <w:snapToGrid w:val="0"/>
              <w:spacing w:before="0" w:beforeLines="0" w:afterLines="0" w:line="240" w:lineRule="auto"/>
              <w:ind w:left="0" w:firstLine="0" w:firstLineChars="0"/>
              <w:jc w:val="center"/>
              <w:rPr>
                <w:rFonts w:hint="eastAsia" w:ascii="仿宋_GB2312" w:hAnsi="仿宋_GB2312" w:eastAsia="仿宋_GB2312" w:cs="仿宋_GB2312"/>
                <w:snapToGrid w:val="0"/>
                <w:color w:val="auto"/>
                <w:kern w:val="0"/>
                <w:sz w:val="24"/>
                <w:szCs w:val="24"/>
                <w:lang w:eastAsia="zh-CN"/>
              </w:rPr>
            </w:pPr>
            <w:r>
              <w:rPr>
                <w:rFonts w:hint="eastAsia" w:ascii="仿宋_GB2312" w:hAnsi="仿宋_GB2312" w:eastAsia="仿宋_GB2312" w:cs="仿宋_GB2312"/>
                <w:snapToGrid w:val="0"/>
                <w:color w:val="auto"/>
                <w:kern w:val="0"/>
                <w:sz w:val="24"/>
                <w:szCs w:val="24"/>
                <w:lang w:eastAsia="zh-CN"/>
              </w:rPr>
              <w:t>有系泊设施</w:t>
            </w:r>
          </w:p>
        </w:tc>
      </w:tr>
    </w:tbl>
    <w:p w14:paraId="47257102">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码头应有完整的设计、施工程序，达到原设计使用功能，并通过了有关部门验收。因建设程序不完善等原因不具备验收条件的，申请人应当提供有资质的检测单位出具的结构检测报告和有资质的设计单位出具的鉴定文件。丧失使用功能的码头不计入码头长度。</w:t>
      </w:r>
    </w:p>
    <w:p w14:paraId="3DB8A40D">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3.3.2  水域面积</w:t>
      </w:r>
      <w:r>
        <w:rPr>
          <w:rFonts w:hint="eastAsia" w:ascii="仿宋_GB2312" w:hAnsi="仿宋_GB2312" w:eastAsia="仿宋_GB2312" w:cs="仿宋_GB2312"/>
          <w:snapToGrid w:val="0"/>
          <w:color w:val="auto"/>
          <w:kern w:val="0"/>
          <w:sz w:val="32"/>
          <w:szCs w:val="32"/>
          <w:lang w:eastAsia="zh-CN"/>
        </w:rPr>
        <w:t>。</w:t>
      </w:r>
    </w:p>
    <w:p w14:paraId="1F97ED6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各等级渔港港界内的水域面积指标参数见表3。</w:t>
      </w:r>
    </w:p>
    <w:p w14:paraId="4F54E621">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表3  水域面积指标参数</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79"/>
        <w:gridCol w:w="1532"/>
        <w:gridCol w:w="1518"/>
        <w:gridCol w:w="1350"/>
        <w:gridCol w:w="1350"/>
        <w:gridCol w:w="1721"/>
      </w:tblGrid>
      <w:tr w14:paraId="4B3D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79" w:type="pct"/>
            <w:noWrap w:val="0"/>
            <w:vAlign w:val="center"/>
          </w:tcPr>
          <w:p w14:paraId="1CA71473">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865" w:type="pct"/>
            <w:noWrap w:val="0"/>
            <w:vAlign w:val="center"/>
          </w:tcPr>
          <w:p w14:paraId="78F96961">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857" w:type="pct"/>
            <w:noWrap w:val="0"/>
            <w:vAlign w:val="center"/>
          </w:tcPr>
          <w:p w14:paraId="30B4DC5A">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tc>
        <w:tc>
          <w:tcPr>
            <w:tcW w:w="762" w:type="pct"/>
            <w:noWrap w:val="0"/>
            <w:vAlign w:val="center"/>
          </w:tcPr>
          <w:p w14:paraId="190D316F">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w:t>
            </w:r>
          </w:p>
        </w:tc>
        <w:tc>
          <w:tcPr>
            <w:tcW w:w="762" w:type="pct"/>
            <w:noWrap w:val="0"/>
            <w:vAlign w:val="center"/>
          </w:tcPr>
          <w:p w14:paraId="1A4B5579">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w:t>
            </w:r>
          </w:p>
        </w:tc>
        <w:tc>
          <w:tcPr>
            <w:tcW w:w="972" w:type="pct"/>
            <w:noWrap w:val="0"/>
            <w:vAlign w:val="center"/>
          </w:tcPr>
          <w:p w14:paraId="506EBE6C">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7204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79" w:type="pct"/>
            <w:noWrap w:val="0"/>
            <w:vAlign w:val="center"/>
          </w:tcPr>
          <w:p w14:paraId="74985F8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水域面积</w:t>
            </w:r>
          </w:p>
        </w:tc>
        <w:tc>
          <w:tcPr>
            <w:tcW w:w="865" w:type="pct"/>
            <w:noWrap w:val="0"/>
            <w:vAlign w:val="center"/>
          </w:tcPr>
          <w:p w14:paraId="024766A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≥40万m²</w:t>
            </w:r>
          </w:p>
        </w:tc>
        <w:tc>
          <w:tcPr>
            <w:tcW w:w="857" w:type="pct"/>
            <w:noWrap w:val="0"/>
            <w:vAlign w:val="center"/>
          </w:tcPr>
          <w:p w14:paraId="145717D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≥30万m²</w:t>
            </w:r>
          </w:p>
        </w:tc>
        <w:tc>
          <w:tcPr>
            <w:tcW w:w="762" w:type="pct"/>
            <w:noWrap w:val="0"/>
            <w:vAlign w:val="center"/>
          </w:tcPr>
          <w:p w14:paraId="26B5BC9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spacing w:val="0"/>
                <w:kern w:val="0"/>
                <w:sz w:val="24"/>
                <w:szCs w:val="24"/>
              </w:rPr>
            </w:pPr>
            <w:r>
              <w:rPr>
                <w:rFonts w:hint="default" w:ascii="仿宋_GB2312" w:hAnsi="仿宋_GB2312" w:eastAsia="仿宋_GB2312" w:cs="仿宋_GB2312"/>
                <w:color w:val="auto"/>
                <w:spacing w:val="0"/>
                <w:kern w:val="0"/>
                <w:sz w:val="24"/>
                <w:szCs w:val="24"/>
              </w:rPr>
              <w:t>≥</w:t>
            </w:r>
            <w:r>
              <w:rPr>
                <w:rFonts w:hint="eastAsia" w:ascii="仿宋_GB2312" w:hAnsi="仿宋_GB2312" w:eastAsia="仿宋_GB2312" w:cs="仿宋_GB2312"/>
                <w:color w:val="auto"/>
                <w:spacing w:val="0"/>
                <w:kern w:val="0"/>
                <w:sz w:val="24"/>
                <w:szCs w:val="24"/>
              </w:rPr>
              <w:t>5万m²</w:t>
            </w:r>
          </w:p>
        </w:tc>
        <w:tc>
          <w:tcPr>
            <w:tcW w:w="762" w:type="pct"/>
            <w:noWrap w:val="0"/>
            <w:vAlign w:val="center"/>
          </w:tcPr>
          <w:p w14:paraId="5C15BC7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spacing w:val="0"/>
                <w:kern w:val="0"/>
                <w:sz w:val="24"/>
                <w:szCs w:val="24"/>
              </w:rPr>
            </w:pPr>
            <w:r>
              <w:rPr>
                <w:rFonts w:hint="default" w:ascii="仿宋_GB2312" w:hAnsi="仿宋_GB2312" w:eastAsia="仿宋_GB2312" w:cs="仿宋_GB2312"/>
                <w:color w:val="auto"/>
                <w:spacing w:val="0"/>
                <w:kern w:val="0"/>
                <w:sz w:val="24"/>
                <w:szCs w:val="24"/>
                <w:highlight w:val="none"/>
              </w:rPr>
              <w:t>≥</w:t>
            </w:r>
            <w:r>
              <w:rPr>
                <w:rFonts w:hint="eastAsia" w:ascii="仿宋_GB2312" w:hAnsi="仿宋_GB2312" w:eastAsia="仿宋_GB2312" w:cs="仿宋_GB2312"/>
                <w:color w:val="auto"/>
                <w:spacing w:val="0"/>
                <w:kern w:val="0"/>
                <w:sz w:val="24"/>
                <w:szCs w:val="24"/>
                <w:highlight w:val="none"/>
                <w:lang w:val="en-US" w:eastAsia="zh-CN"/>
              </w:rPr>
              <w:t>1</w:t>
            </w:r>
            <w:r>
              <w:rPr>
                <w:rFonts w:hint="eastAsia" w:ascii="仿宋_GB2312" w:hAnsi="仿宋_GB2312" w:eastAsia="仿宋_GB2312" w:cs="仿宋_GB2312"/>
                <w:color w:val="auto"/>
                <w:spacing w:val="0"/>
                <w:kern w:val="0"/>
                <w:sz w:val="24"/>
                <w:szCs w:val="24"/>
                <w:highlight w:val="none"/>
              </w:rPr>
              <w:t>万</w:t>
            </w:r>
            <w:r>
              <w:rPr>
                <w:rFonts w:hint="eastAsia" w:ascii="仿宋_GB2312" w:hAnsi="仿宋_GB2312" w:eastAsia="仿宋_GB2312" w:cs="仿宋_GB2312"/>
                <w:color w:val="auto"/>
                <w:spacing w:val="0"/>
                <w:kern w:val="0"/>
                <w:sz w:val="24"/>
                <w:szCs w:val="24"/>
              </w:rPr>
              <w:t>m²</w:t>
            </w:r>
          </w:p>
        </w:tc>
        <w:tc>
          <w:tcPr>
            <w:tcW w:w="972" w:type="pct"/>
            <w:noWrap w:val="0"/>
            <w:vAlign w:val="center"/>
          </w:tcPr>
          <w:p w14:paraId="41A1459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highlight w:val="none"/>
                <w:lang w:eastAsia="zh-CN"/>
              </w:rPr>
              <w:t>有一定面积</w:t>
            </w:r>
          </w:p>
        </w:tc>
      </w:tr>
    </w:tbl>
    <w:p w14:paraId="1560CC1A">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3.3.3  陆域面积</w:t>
      </w:r>
      <w:r>
        <w:rPr>
          <w:rFonts w:hint="eastAsia" w:ascii="仿宋_GB2312" w:hAnsi="仿宋_GB2312" w:eastAsia="仿宋_GB2312" w:cs="仿宋_GB2312"/>
          <w:color w:val="auto"/>
          <w:kern w:val="0"/>
          <w:sz w:val="32"/>
          <w:szCs w:val="32"/>
          <w:lang w:eastAsia="zh-CN"/>
        </w:rPr>
        <w:t>。</w:t>
      </w:r>
    </w:p>
    <w:p w14:paraId="4AC719A1">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各等级渔港港界内的陆域面积指标参数见表4。</w:t>
      </w:r>
    </w:p>
    <w:p w14:paraId="071DD00E">
      <w:pPr>
        <w:adjustRightInd w:val="0"/>
        <w:snapToGrid w:val="0"/>
        <w:spacing w:beforeLines="0" w:afterLines="0" w:line="590" w:lineRule="exact"/>
        <w:ind w:firstLine="0" w:firstLineChars="0"/>
        <w:jc w:val="both"/>
        <w:rPr>
          <w:rFonts w:hint="eastAsia" w:ascii="仿宋_GB2312" w:hAnsi="仿宋_GB2312" w:eastAsia="仿宋_GB2312" w:cs="仿宋_GB2312"/>
          <w:color w:val="auto"/>
          <w:spacing w:val="0"/>
          <w:kern w:val="0"/>
          <w:sz w:val="29"/>
          <w:szCs w:val="29"/>
        </w:rPr>
      </w:pPr>
    </w:p>
    <w:p w14:paraId="2A6922CC">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9"/>
          <w:szCs w:val="29"/>
        </w:rPr>
      </w:pPr>
      <w:r>
        <w:rPr>
          <w:rFonts w:hint="eastAsia" w:ascii="仿宋_GB2312" w:hAnsi="仿宋_GB2312" w:eastAsia="仿宋_GB2312" w:cs="仿宋_GB2312"/>
          <w:color w:val="auto"/>
          <w:spacing w:val="0"/>
          <w:kern w:val="0"/>
          <w:sz w:val="29"/>
          <w:szCs w:val="29"/>
        </w:rPr>
        <w:t>表4  陆域面积指标参数</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523"/>
        <w:gridCol w:w="1516"/>
        <w:gridCol w:w="1362"/>
        <w:gridCol w:w="1334"/>
        <w:gridCol w:w="1728"/>
      </w:tblGrid>
      <w:tr w14:paraId="5E36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83" w:type="pct"/>
            <w:noWrap w:val="0"/>
            <w:vAlign w:val="center"/>
          </w:tcPr>
          <w:p w14:paraId="6D199715">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860" w:type="pct"/>
            <w:noWrap w:val="0"/>
            <w:vAlign w:val="center"/>
          </w:tcPr>
          <w:p w14:paraId="605F087B">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856" w:type="pct"/>
            <w:noWrap w:val="0"/>
            <w:vAlign w:val="center"/>
          </w:tcPr>
          <w:p w14:paraId="49B0BB3B">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tc>
        <w:tc>
          <w:tcPr>
            <w:tcW w:w="769" w:type="pct"/>
            <w:noWrap w:val="0"/>
            <w:vAlign w:val="center"/>
          </w:tcPr>
          <w:p w14:paraId="276CD140">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w:t>
            </w:r>
          </w:p>
        </w:tc>
        <w:tc>
          <w:tcPr>
            <w:tcW w:w="753" w:type="pct"/>
            <w:noWrap w:val="0"/>
            <w:vAlign w:val="center"/>
          </w:tcPr>
          <w:p w14:paraId="123D9B9A">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w:t>
            </w:r>
          </w:p>
        </w:tc>
        <w:tc>
          <w:tcPr>
            <w:tcW w:w="976" w:type="pct"/>
            <w:noWrap w:val="0"/>
            <w:vAlign w:val="center"/>
          </w:tcPr>
          <w:p w14:paraId="30880391">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3244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783" w:type="pct"/>
            <w:noWrap w:val="0"/>
            <w:vAlign w:val="center"/>
          </w:tcPr>
          <w:p w14:paraId="77D1842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陆域面积</w:t>
            </w:r>
          </w:p>
        </w:tc>
        <w:tc>
          <w:tcPr>
            <w:tcW w:w="860" w:type="pct"/>
            <w:noWrap w:val="0"/>
            <w:vAlign w:val="center"/>
          </w:tcPr>
          <w:p w14:paraId="7A5ED0F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≥20万m²</w:t>
            </w:r>
          </w:p>
        </w:tc>
        <w:tc>
          <w:tcPr>
            <w:tcW w:w="856" w:type="pct"/>
            <w:noWrap w:val="0"/>
            <w:vAlign w:val="center"/>
          </w:tcPr>
          <w:p w14:paraId="4013DCC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≥10万m²</w:t>
            </w:r>
          </w:p>
        </w:tc>
        <w:tc>
          <w:tcPr>
            <w:tcW w:w="769" w:type="pct"/>
            <w:noWrap w:val="0"/>
            <w:vAlign w:val="center"/>
          </w:tcPr>
          <w:p w14:paraId="13374F1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spacing w:val="0"/>
                <w:kern w:val="0"/>
                <w:sz w:val="24"/>
                <w:szCs w:val="24"/>
              </w:rPr>
            </w:pPr>
            <w:r>
              <w:rPr>
                <w:rFonts w:hint="default" w:ascii="仿宋_GB2312" w:hAnsi="仿宋_GB2312" w:eastAsia="仿宋_GB2312" w:cs="仿宋_GB2312"/>
                <w:color w:val="auto"/>
                <w:spacing w:val="0"/>
                <w:kern w:val="0"/>
                <w:sz w:val="24"/>
                <w:szCs w:val="24"/>
              </w:rPr>
              <w:t>≥</w:t>
            </w:r>
            <w:r>
              <w:rPr>
                <w:rFonts w:hint="eastAsia" w:ascii="仿宋_GB2312" w:hAnsi="仿宋_GB2312" w:eastAsia="仿宋_GB2312" w:cs="仿宋_GB2312"/>
                <w:color w:val="auto"/>
                <w:spacing w:val="0"/>
                <w:kern w:val="0"/>
                <w:sz w:val="24"/>
                <w:szCs w:val="24"/>
              </w:rPr>
              <w:t>2万m²</w:t>
            </w:r>
          </w:p>
        </w:tc>
        <w:tc>
          <w:tcPr>
            <w:tcW w:w="753" w:type="pct"/>
            <w:noWrap w:val="0"/>
            <w:vAlign w:val="center"/>
          </w:tcPr>
          <w:p w14:paraId="06C261E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highlight w:val="none"/>
              </w:rPr>
              <w:t>≥</w:t>
            </w:r>
            <w:r>
              <w:rPr>
                <w:rFonts w:hint="eastAsia" w:ascii="仿宋_GB2312" w:hAnsi="仿宋_GB2312" w:eastAsia="仿宋_GB2312" w:cs="仿宋_GB2312"/>
                <w:color w:val="auto"/>
                <w:spacing w:val="0"/>
                <w:kern w:val="0"/>
                <w:sz w:val="24"/>
                <w:szCs w:val="24"/>
                <w:highlight w:val="none"/>
                <w:lang w:val="en-US" w:eastAsia="zh-CN"/>
              </w:rPr>
              <w:t>1000</w:t>
            </w:r>
            <w:r>
              <w:rPr>
                <w:rFonts w:hint="eastAsia" w:ascii="仿宋_GB2312" w:hAnsi="仿宋_GB2312" w:eastAsia="仿宋_GB2312" w:cs="仿宋_GB2312"/>
                <w:color w:val="auto"/>
                <w:spacing w:val="0"/>
                <w:kern w:val="0"/>
                <w:sz w:val="24"/>
                <w:szCs w:val="24"/>
              </w:rPr>
              <w:t>m²</w:t>
            </w:r>
          </w:p>
        </w:tc>
        <w:tc>
          <w:tcPr>
            <w:tcW w:w="976" w:type="pct"/>
            <w:noWrap w:val="0"/>
            <w:vAlign w:val="center"/>
          </w:tcPr>
          <w:p w14:paraId="296C505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spacing w:val="0"/>
                <w:kern w:val="0"/>
                <w:sz w:val="24"/>
                <w:szCs w:val="24"/>
                <w:highlight w:val="none"/>
                <w:lang w:eastAsia="zh-CN"/>
              </w:rPr>
            </w:pPr>
            <w:r>
              <w:rPr>
                <w:rFonts w:hint="eastAsia" w:ascii="仿宋_GB2312" w:hAnsi="仿宋_GB2312" w:eastAsia="仿宋_GB2312" w:cs="仿宋_GB2312"/>
                <w:color w:val="auto"/>
                <w:kern w:val="0"/>
                <w:sz w:val="24"/>
                <w:szCs w:val="24"/>
                <w:highlight w:val="none"/>
              </w:rPr>
              <w:t>有一定面积</w:t>
            </w:r>
          </w:p>
        </w:tc>
      </w:tr>
    </w:tbl>
    <w:p w14:paraId="55256D53">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3.4  服务能力指标</w:t>
      </w:r>
      <w:r>
        <w:rPr>
          <w:rFonts w:hint="eastAsia" w:ascii="仿宋_GB2312" w:hAnsi="仿宋_GB2312" w:eastAsia="仿宋_GB2312" w:cs="仿宋_GB2312"/>
          <w:color w:val="auto"/>
          <w:kern w:val="0"/>
          <w:sz w:val="32"/>
          <w:szCs w:val="32"/>
          <w:lang w:eastAsia="zh-CN"/>
        </w:rPr>
        <w:t>。</w:t>
      </w:r>
    </w:p>
    <w:p w14:paraId="6C1CF3AA">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服务能力指标包括可靠泊渔船能力、可容纳锚泊渔船数量和渔获物年卸港量。</w:t>
      </w:r>
    </w:p>
    <w:p w14:paraId="6B0DBE51">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3.4.1  可靠泊渔船能力</w:t>
      </w:r>
      <w:r>
        <w:rPr>
          <w:rFonts w:hint="eastAsia" w:ascii="仿宋_GB2312" w:hAnsi="仿宋_GB2312" w:eastAsia="仿宋_GB2312" w:cs="仿宋_GB2312"/>
          <w:color w:val="auto"/>
          <w:kern w:val="0"/>
          <w:sz w:val="32"/>
          <w:szCs w:val="32"/>
          <w:lang w:eastAsia="zh-CN"/>
        </w:rPr>
        <w:t>。</w:t>
      </w:r>
    </w:p>
    <w:p w14:paraId="34A4E8DF">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各等级渔港的可靠泊渔船能力指标参数见表5。</w:t>
      </w:r>
    </w:p>
    <w:p w14:paraId="0F51FCEC">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表5 可靠泊渔船能力指标参数</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34"/>
        <w:gridCol w:w="939"/>
        <w:gridCol w:w="941"/>
        <w:gridCol w:w="939"/>
        <w:gridCol w:w="941"/>
        <w:gridCol w:w="1858"/>
      </w:tblGrid>
      <w:tr w14:paraId="699A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26" w:type="pct"/>
            <w:noWrap w:val="0"/>
            <w:vAlign w:val="center"/>
          </w:tcPr>
          <w:p w14:paraId="35F139A1">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530" w:type="pct"/>
            <w:noWrap w:val="0"/>
            <w:vAlign w:val="center"/>
          </w:tcPr>
          <w:p w14:paraId="23FDB9DE">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lang w:eastAsia="zh-CN"/>
              </w:rPr>
              <w:t>中</w:t>
            </w:r>
            <w:r>
              <w:rPr>
                <w:rFonts w:hint="eastAsia" w:ascii="黑体" w:hAnsi="黑体" w:eastAsia="黑体" w:cs="黑体"/>
                <w:b w:val="0"/>
                <w:bCs w:val="0"/>
                <w:color w:val="auto"/>
                <w:spacing w:val="0"/>
                <w:kern w:val="0"/>
                <w:sz w:val="24"/>
                <w:szCs w:val="24"/>
              </w:rPr>
              <w:t>心</w:t>
            </w:r>
          </w:p>
        </w:tc>
        <w:tc>
          <w:tcPr>
            <w:tcW w:w="530" w:type="pct"/>
            <w:noWrap w:val="0"/>
            <w:vAlign w:val="center"/>
          </w:tcPr>
          <w:p w14:paraId="52D4F1BC">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一级</w:t>
            </w:r>
          </w:p>
        </w:tc>
        <w:tc>
          <w:tcPr>
            <w:tcW w:w="530" w:type="pct"/>
            <w:noWrap w:val="0"/>
            <w:vAlign w:val="center"/>
          </w:tcPr>
          <w:p w14:paraId="00231116">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二级</w:t>
            </w:r>
          </w:p>
        </w:tc>
        <w:tc>
          <w:tcPr>
            <w:tcW w:w="530" w:type="pct"/>
            <w:noWrap w:val="0"/>
            <w:vAlign w:val="center"/>
          </w:tcPr>
          <w:p w14:paraId="1B079542">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三级</w:t>
            </w:r>
          </w:p>
        </w:tc>
        <w:tc>
          <w:tcPr>
            <w:tcW w:w="1049" w:type="pct"/>
            <w:noWrap w:val="0"/>
            <w:vAlign w:val="center"/>
          </w:tcPr>
          <w:p w14:paraId="264ACBFA">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5EF3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26" w:type="pct"/>
            <w:noWrap w:val="0"/>
            <w:vAlign w:val="center"/>
          </w:tcPr>
          <w:p w14:paraId="591ABAB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可靠泊渔船能力</w:t>
            </w:r>
          </w:p>
        </w:tc>
        <w:tc>
          <w:tcPr>
            <w:tcW w:w="1061" w:type="pct"/>
            <w:gridSpan w:val="2"/>
            <w:noWrap w:val="0"/>
            <w:vAlign w:val="center"/>
          </w:tcPr>
          <w:p w14:paraId="5624DF6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大型</w:t>
            </w:r>
          </w:p>
        </w:tc>
        <w:tc>
          <w:tcPr>
            <w:tcW w:w="1061" w:type="pct"/>
            <w:gridSpan w:val="2"/>
            <w:noWrap w:val="0"/>
            <w:vAlign w:val="center"/>
          </w:tcPr>
          <w:p w14:paraId="329CCF2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中型</w:t>
            </w:r>
          </w:p>
        </w:tc>
        <w:tc>
          <w:tcPr>
            <w:tcW w:w="1049" w:type="pct"/>
            <w:noWrap w:val="0"/>
            <w:vAlign w:val="center"/>
          </w:tcPr>
          <w:p w14:paraId="3F2E39B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小型</w:t>
            </w:r>
          </w:p>
        </w:tc>
      </w:tr>
    </w:tbl>
    <w:p w14:paraId="377430B5">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3.4.2  可容纳锚泊渔船数量</w:t>
      </w:r>
      <w:r>
        <w:rPr>
          <w:rFonts w:hint="eastAsia" w:ascii="仿宋_GB2312" w:hAnsi="仿宋_GB2312" w:eastAsia="仿宋_GB2312" w:cs="仿宋_GB2312"/>
          <w:color w:val="auto"/>
          <w:kern w:val="0"/>
          <w:sz w:val="32"/>
          <w:szCs w:val="32"/>
          <w:lang w:eastAsia="zh-CN"/>
        </w:rPr>
        <w:t>。</w:t>
      </w:r>
    </w:p>
    <w:p w14:paraId="7252FD01">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各等级渔港的可容纳锚泊渔船数量指标参数见表6。</w:t>
      </w:r>
    </w:p>
    <w:p w14:paraId="26A15C67">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表6 可容纳锚泊渔船数量指标参数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93"/>
        <w:gridCol w:w="1211"/>
        <w:gridCol w:w="1200"/>
        <w:gridCol w:w="1204"/>
        <w:gridCol w:w="1046"/>
        <w:gridCol w:w="1295"/>
      </w:tblGrid>
      <w:tr w14:paraId="4B79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34" w:type="pct"/>
            <w:noWrap w:val="0"/>
            <w:vAlign w:val="center"/>
          </w:tcPr>
          <w:p w14:paraId="3E9E3233">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684" w:type="pct"/>
            <w:noWrap w:val="0"/>
            <w:vAlign w:val="center"/>
          </w:tcPr>
          <w:p w14:paraId="5B63ABCD">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678" w:type="pct"/>
            <w:noWrap w:val="0"/>
            <w:vAlign w:val="center"/>
          </w:tcPr>
          <w:p w14:paraId="79D9252F">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一级</w:t>
            </w:r>
          </w:p>
        </w:tc>
        <w:tc>
          <w:tcPr>
            <w:tcW w:w="680" w:type="pct"/>
            <w:noWrap w:val="0"/>
            <w:vAlign w:val="center"/>
          </w:tcPr>
          <w:p w14:paraId="14C95531">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二级</w:t>
            </w:r>
          </w:p>
        </w:tc>
        <w:tc>
          <w:tcPr>
            <w:tcW w:w="591" w:type="pct"/>
            <w:noWrap w:val="0"/>
            <w:vAlign w:val="center"/>
          </w:tcPr>
          <w:p w14:paraId="0188EB32">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三级</w:t>
            </w:r>
          </w:p>
        </w:tc>
        <w:tc>
          <w:tcPr>
            <w:tcW w:w="731" w:type="pct"/>
            <w:noWrap w:val="0"/>
            <w:vAlign w:val="center"/>
          </w:tcPr>
          <w:p w14:paraId="1891E6C7">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1506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634" w:type="pct"/>
            <w:noWrap w:val="0"/>
            <w:vAlign w:val="center"/>
          </w:tcPr>
          <w:p w14:paraId="729487B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可容纳锚泊渔船数量</w:t>
            </w:r>
          </w:p>
        </w:tc>
        <w:tc>
          <w:tcPr>
            <w:tcW w:w="684" w:type="pct"/>
            <w:noWrap w:val="0"/>
            <w:vAlign w:val="center"/>
          </w:tcPr>
          <w:p w14:paraId="1BF3005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≥800艘</w:t>
            </w:r>
          </w:p>
        </w:tc>
        <w:tc>
          <w:tcPr>
            <w:tcW w:w="678" w:type="pct"/>
            <w:noWrap w:val="0"/>
            <w:vAlign w:val="center"/>
          </w:tcPr>
          <w:p w14:paraId="24A29C3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≥600艘</w:t>
            </w:r>
          </w:p>
        </w:tc>
        <w:tc>
          <w:tcPr>
            <w:tcW w:w="680" w:type="pct"/>
            <w:noWrap w:val="0"/>
            <w:vAlign w:val="center"/>
          </w:tcPr>
          <w:p w14:paraId="50139EE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≥200艘</w:t>
            </w:r>
          </w:p>
        </w:tc>
        <w:tc>
          <w:tcPr>
            <w:tcW w:w="591" w:type="pct"/>
            <w:noWrap w:val="0"/>
            <w:vAlign w:val="center"/>
          </w:tcPr>
          <w:p w14:paraId="1F45392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≥50艘</w:t>
            </w:r>
          </w:p>
        </w:tc>
        <w:tc>
          <w:tcPr>
            <w:tcW w:w="731" w:type="pct"/>
            <w:noWrap w:val="0"/>
            <w:vAlign w:val="center"/>
          </w:tcPr>
          <w:p w14:paraId="1BC9FD0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lang w:eastAsia="zh-CN"/>
              </w:rPr>
              <w:t>不作要求</w:t>
            </w:r>
          </w:p>
        </w:tc>
      </w:tr>
    </w:tbl>
    <w:p w14:paraId="2C48F234">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3.4.3  渔获物年卸港量</w:t>
      </w:r>
      <w:r>
        <w:rPr>
          <w:rFonts w:hint="eastAsia" w:ascii="仿宋_GB2312" w:hAnsi="仿宋_GB2312" w:eastAsia="仿宋_GB2312" w:cs="仿宋_GB2312"/>
          <w:color w:val="auto"/>
          <w:kern w:val="0"/>
          <w:sz w:val="32"/>
          <w:szCs w:val="32"/>
          <w:lang w:eastAsia="zh-CN"/>
        </w:rPr>
        <w:t>。</w:t>
      </w:r>
    </w:p>
    <w:p w14:paraId="7164AB43">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各等级渔港的渔获物年卸港量指标参数见表7。</w:t>
      </w:r>
    </w:p>
    <w:p w14:paraId="58518891">
      <w:pPr>
        <w:adjustRightInd w:val="0"/>
        <w:snapToGrid w:val="0"/>
        <w:spacing w:beforeLines="0" w:afterLines="0" w:line="590" w:lineRule="exact"/>
        <w:ind w:firstLine="0" w:firstLineChars="0"/>
        <w:jc w:val="center"/>
        <w:rPr>
          <w:rFonts w:hint="eastAsia" w:ascii="仿宋_GB2312" w:hAnsi="仿宋_GB2312" w:eastAsia="仿宋_GB2312" w:cs="仿宋_GB2312"/>
          <w:b w:val="0"/>
          <w:bCs w:val="0"/>
          <w:color w:val="auto"/>
          <w:spacing w:val="0"/>
          <w:kern w:val="0"/>
          <w:sz w:val="28"/>
          <w:szCs w:val="28"/>
        </w:rPr>
      </w:pPr>
      <w:r>
        <w:rPr>
          <w:rFonts w:hint="eastAsia" w:ascii="仿宋_GB2312" w:hAnsi="仿宋_GB2312" w:eastAsia="仿宋_GB2312" w:cs="仿宋_GB2312"/>
          <w:b w:val="0"/>
          <w:bCs w:val="0"/>
          <w:color w:val="auto"/>
          <w:spacing w:val="0"/>
          <w:kern w:val="0"/>
          <w:sz w:val="28"/>
          <w:szCs w:val="28"/>
        </w:rPr>
        <w:t>表7 渔获物年卸港量指标参数</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87"/>
        <w:gridCol w:w="1350"/>
        <w:gridCol w:w="1357"/>
        <w:gridCol w:w="1504"/>
        <w:gridCol w:w="723"/>
        <w:gridCol w:w="1429"/>
      </w:tblGrid>
      <w:tr w14:paraId="0ABF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5" w:type="pct"/>
            <w:noWrap w:val="0"/>
            <w:vAlign w:val="center"/>
          </w:tcPr>
          <w:p w14:paraId="0DA240DB">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762" w:type="pct"/>
            <w:noWrap w:val="0"/>
            <w:vAlign w:val="center"/>
          </w:tcPr>
          <w:p w14:paraId="5DA908B2">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766" w:type="pct"/>
            <w:noWrap w:val="0"/>
            <w:vAlign w:val="center"/>
          </w:tcPr>
          <w:p w14:paraId="1A975F14">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tc>
        <w:tc>
          <w:tcPr>
            <w:tcW w:w="849" w:type="pct"/>
            <w:noWrap w:val="0"/>
            <w:vAlign w:val="center"/>
          </w:tcPr>
          <w:p w14:paraId="44F75DA6">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w:t>
            </w:r>
          </w:p>
        </w:tc>
        <w:tc>
          <w:tcPr>
            <w:tcW w:w="408" w:type="pct"/>
            <w:noWrap w:val="0"/>
            <w:vAlign w:val="center"/>
          </w:tcPr>
          <w:p w14:paraId="0E99F686">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w:t>
            </w:r>
          </w:p>
        </w:tc>
        <w:tc>
          <w:tcPr>
            <w:tcW w:w="807" w:type="pct"/>
            <w:noWrap w:val="0"/>
            <w:vAlign w:val="center"/>
          </w:tcPr>
          <w:p w14:paraId="43D6C7FA">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6400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405" w:type="pct"/>
            <w:noWrap w:val="0"/>
            <w:vAlign w:val="center"/>
          </w:tcPr>
          <w:p w14:paraId="7ABE80A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渔获物年卸港量</w:t>
            </w:r>
          </w:p>
        </w:tc>
        <w:tc>
          <w:tcPr>
            <w:tcW w:w="762" w:type="pct"/>
            <w:noWrap w:val="0"/>
            <w:vAlign w:val="center"/>
          </w:tcPr>
          <w:p w14:paraId="23377EB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≥8万吨</w:t>
            </w:r>
          </w:p>
        </w:tc>
        <w:tc>
          <w:tcPr>
            <w:tcW w:w="766" w:type="pct"/>
            <w:noWrap w:val="0"/>
            <w:vAlign w:val="center"/>
          </w:tcPr>
          <w:p w14:paraId="10E52D9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≥4万吨</w:t>
            </w:r>
          </w:p>
        </w:tc>
        <w:tc>
          <w:tcPr>
            <w:tcW w:w="849" w:type="pct"/>
            <w:noWrap w:val="0"/>
            <w:vAlign w:val="center"/>
          </w:tcPr>
          <w:p w14:paraId="61D952C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000吨</w:t>
            </w:r>
          </w:p>
        </w:tc>
        <w:tc>
          <w:tcPr>
            <w:tcW w:w="1215" w:type="pct"/>
            <w:gridSpan w:val="2"/>
            <w:noWrap w:val="0"/>
            <w:vAlign w:val="center"/>
          </w:tcPr>
          <w:p w14:paraId="7FF677B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不作要求</w:t>
            </w:r>
          </w:p>
        </w:tc>
      </w:tr>
    </w:tbl>
    <w:p w14:paraId="382747A5">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3.5  监管能力指标</w:t>
      </w:r>
      <w:r>
        <w:rPr>
          <w:rFonts w:hint="eastAsia" w:ascii="仿宋_GB2312" w:hAnsi="仿宋_GB2312" w:eastAsia="仿宋_GB2312" w:cs="仿宋_GB2312"/>
          <w:color w:val="auto"/>
          <w:kern w:val="0"/>
          <w:sz w:val="32"/>
          <w:szCs w:val="32"/>
          <w:lang w:eastAsia="zh-CN"/>
        </w:rPr>
        <w:t>。</w:t>
      </w:r>
    </w:p>
    <w:p w14:paraId="5B8113BF">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sz w:val="32"/>
          <w:szCs w:val="32"/>
        </w:rPr>
        <w:t>监管能力指标包括渔港监督管理机构、港务管理机构、渔港综合管理服务中心、渔船动态监控管理、渔港视频监控、污染防治设施、应急管理设施。</w:t>
      </w:r>
    </w:p>
    <w:p w14:paraId="55F00178">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3.5.1  渔港监督管理机构</w:t>
      </w:r>
      <w:r>
        <w:rPr>
          <w:rFonts w:hint="eastAsia" w:ascii="仿宋_GB2312" w:hAnsi="仿宋_GB2312" w:eastAsia="仿宋_GB2312" w:cs="仿宋_GB2312"/>
          <w:color w:val="auto"/>
          <w:kern w:val="0"/>
          <w:sz w:val="32"/>
          <w:szCs w:val="32"/>
          <w:lang w:eastAsia="zh-CN"/>
        </w:rPr>
        <w:t>。</w:t>
      </w:r>
    </w:p>
    <w:p w14:paraId="4713712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各等级渔港的监督管理机构指标参数见表8。</w:t>
      </w:r>
    </w:p>
    <w:p w14:paraId="652DD33C">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 8 渔港监督管理机构指标参数</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15"/>
        <w:gridCol w:w="1934"/>
        <w:gridCol w:w="1935"/>
        <w:gridCol w:w="696"/>
        <w:gridCol w:w="696"/>
        <w:gridCol w:w="1374"/>
      </w:tblGrid>
      <w:tr w14:paraId="351C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51" w:type="pct"/>
            <w:noWrap w:val="0"/>
            <w:vAlign w:val="center"/>
          </w:tcPr>
          <w:p w14:paraId="18049234">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1092" w:type="pct"/>
            <w:noWrap w:val="0"/>
            <w:vAlign w:val="center"/>
          </w:tcPr>
          <w:p w14:paraId="0DA7ADB2">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1092" w:type="pct"/>
            <w:noWrap w:val="0"/>
            <w:vAlign w:val="center"/>
          </w:tcPr>
          <w:p w14:paraId="63FD79F1">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tc>
        <w:tc>
          <w:tcPr>
            <w:tcW w:w="393" w:type="pct"/>
            <w:noWrap w:val="0"/>
            <w:vAlign w:val="center"/>
          </w:tcPr>
          <w:p w14:paraId="712DE7A8">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w:t>
            </w:r>
          </w:p>
        </w:tc>
        <w:tc>
          <w:tcPr>
            <w:tcW w:w="393" w:type="pct"/>
            <w:noWrap w:val="0"/>
            <w:vAlign w:val="center"/>
          </w:tcPr>
          <w:p w14:paraId="486F40A5">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w:t>
            </w:r>
          </w:p>
        </w:tc>
        <w:tc>
          <w:tcPr>
            <w:tcW w:w="776" w:type="pct"/>
            <w:noWrap w:val="0"/>
            <w:vAlign w:val="center"/>
          </w:tcPr>
          <w:p w14:paraId="54263486">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2ACE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51" w:type="pct"/>
            <w:noWrap w:val="0"/>
            <w:vAlign w:val="center"/>
          </w:tcPr>
          <w:p w14:paraId="1FF30D1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渔港监督管理机构</w:t>
            </w:r>
          </w:p>
        </w:tc>
        <w:tc>
          <w:tcPr>
            <w:tcW w:w="2185" w:type="pct"/>
            <w:gridSpan w:val="2"/>
            <w:noWrap w:val="0"/>
            <w:vAlign w:val="center"/>
          </w:tcPr>
          <w:p w14:paraId="1D643BA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渔港监督管理机构明确，且驻港</w:t>
            </w:r>
          </w:p>
        </w:tc>
        <w:tc>
          <w:tcPr>
            <w:tcW w:w="1562" w:type="pct"/>
            <w:gridSpan w:val="3"/>
            <w:noWrap w:val="0"/>
            <w:vAlign w:val="center"/>
          </w:tcPr>
          <w:p w14:paraId="2481EB6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渔港监督管理机构明确</w:t>
            </w:r>
          </w:p>
        </w:tc>
      </w:tr>
    </w:tbl>
    <w:p w14:paraId="4D91BB86">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3.5.2  港务管理机构</w:t>
      </w:r>
    </w:p>
    <w:p w14:paraId="75C1D6A8">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各等级渔港的港务管理机构指标参数见表9。</w:t>
      </w:r>
    </w:p>
    <w:p w14:paraId="703C83D0">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 9 港务管理机构指标参数</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69"/>
        <w:gridCol w:w="1631"/>
        <w:gridCol w:w="1633"/>
        <w:gridCol w:w="1634"/>
        <w:gridCol w:w="666"/>
        <w:gridCol w:w="1317"/>
      </w:tblGrid>
      <w:tr w14:paraId="1A16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12" w:type="pct"/>
            <w:noWrap w:val="0"/>
            <w:vAlign w:val="center"/>
          </w:tcPr>
          <w:p w14:paraId="7734775E">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921" w:type="pct"/>
            <w:noWrap w:val="0"/>
            <w:vAlign w:val="center"/>
          </w:tcPr>
          <w:p w14:paraId="188C928D">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922" w:type="pct"/>
            <w:noWrap w:val="0"/>
            <w:vAlign w:val="center"/>
          </w:tcPr>
          <w:p w14:paraId="69D382AF">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tc>
        <w:tc>
          <w:tcPr>
            <w:tcW w:w="921" w:type="pct"/>
            <w:noWrap w:val="0"/>
            <w:vAlign w:val="center"/>
          </w:tcPr>
          <w:p w14:paraId="5A712CA9">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w:t>
            </w:r>
          </w:p>
        </w:tc>
        <w:tc>
          <w:tcPr>
            <w:tcW w:w="376" w:type="pct"/>
            <w:noWrap w:val="0"/>
            <w:vAlign w:val="center"/>
          </w:tcPr>
          <w:p w14:paraId="032C1A37">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w:t>
            </w:r>
          </w:p>
        </w:tc>
        <w:tc>
          <w:tcPr>
            <w:tcW w:w="744" w:type="pct"/>
            <w:noWrap w:val="0"/>
            <w:vAlign w:val="center"/>
          </w:tcPr>
          <w:p w14:paraId="1D491118">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6CA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112" w:type="pct"/>
            <w:noWrap w:val="0"/>
            <w:vAlign w:val="center"/>
          </w:tcPr>
          <w:p w14:paraId="2521948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港务管理机构</w:t>
            </w:r>
          </w:p>
        </w:tc>
        <w:tc>
          <w:tcPr>
            <w:tcW w:w="2766" w:type="pct"/>
            <w:gridSpan w:val="3"/>
            <w:noWrap w:val="0"/>
            <w:vAlign w:val="center"/>
          </w:tcPr>
          <w:p w14:paraId="6D92199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港务管理机构明确，物业管理驻港</w:t>
            </w:r>
          </w:p>
        </w:tc>
        <w:tc>
          <w:tcPr>
            <w:tcW w:w="1120" w:type="pct"/>
            <w:gridSpan w:val="2"/>
            <w:noWrap w:val="0"/>
            <w:vAlign w:val="center"/>
          </w:tcPr>
          <w:p w14:paraId="72D3208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机构明确</w:t>
            </w:r>
          </w:p>
        </w:tc>
      </w:tr>
    </w:tbl>
    <w:p w14:paraId="0FE1567E">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3.5.3  渔港综合管理服务中心</w:t>
      </w:r>
      <w:r>
        <w:rPr>
          <w:rFonts w:hint="eastAsia" w:ascii="仿宋_GB2312" w:hAnsi="仿宋_GB2312" w:eastAsia="仿宋_GB2312" w:cs="仿宋_GB2312"/>
          <w:color w:val="auto"/>
          <w:kern w:val="0"/>
          <w:sz w:val="32"/>
          <w:szCs w:val="32"/>
          <w:lang w:eastAsia="zh-CN"/>
        </w:rPr>
        <w:t>。</w:t>
      </w:r>
    </w:p>
    <w:p w14:paraId="626B4B55">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各等级渔港的综合管理服务中心的建筑面积指标参数见表10。</w:t>
      </w:r>
    </w:p>
    <w:p w14:paraId="32699BD8">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表10 渔港综合管理服务中心建筑面积指标参数</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82"/>
        <w:gridCol w:w="1350"/>
        <w:gridCol w:w="1195"/>
        <w:gridCol w:w="708"/>
        <w:gridCol w:w="708"/>
        <w:gridCol w:w="1407"/>
      </w:tblGrid>
      <w:tr w14:paraId="6799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66" w:type="pct"/>
            <w:noWrap w:val="0"/>
            <w:vAlign w:val="center"/>
          </w:tcPr>
          <w:p w14:paraId="7EEDA487">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762" w:type="pct"/>
            <w:noWrap w:val="0"/>
            <w:vAlign w:val="center"/>
          </w:tcPr>
          <w:p w14:paraId="5B9E7DFD">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675" w:type="pct"/>
            <w:noWrap w:val="0"/>
            <w:vAlign w:val="center"/>
          </w:tcPr>
          <w:p w14:paraId="4D702A19">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tc>
        <w:tc>
          <w:tcPr>
            <w:tcW w:w="400" w:type="pct"/>
            <w:noWrap w:val="0"/>
            <w:vAlign w:val="center"/>
          </w:tcPr>
          <w:p w14:paraId="29665934">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w:t>
            </w:r>
          </w:p>
        </w:tc>
        <w:tc>
          <w:tcPr>
            <w:tcW w:w="400" w:type="pct"/>
            <w:noWrap w:val="0"/>
            <w:vAlign w:val="center"/>
          </w:tcPr>
          <w:p w14:paraId="4F5B154D">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w:t>
            </w:r>
          </w:p>
        </w:tc>
        <w:tc>
          <w:tcPr>
            <w:tcW w:w="792" w:type="pct"/>
            <w:noWrap w:val="0"/>
            <w:vAlign w:val="center"/>
          </w:tcPr>
          <w:p w14:paraId="5543CA71">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6911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966" w:type="pct"/>
            <w:noWrap w:val="0"/>
            <w:vAlign w:val="center"/>
          </w:tcPr>
          <w:p w14:paraId="7EB7518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渔港综合管理服务中心</w:t>
            </w:r>
          </w:p>
        </w:tc>
        <w:tc>
          <w:tcPr>
            <w:tcW w:w="762" w:type="pct"/>
            <w:noWrap w:val="0"/>
            <w:vAlign w:val="center"/>
          </w:tcPr>
          <w:p w14:paraId="57DD741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≥1000m²</w:t>
            </w:r>
          </w:p>
        </w:tc>
        <w:tc>
          <w:tcPr>
            <w:tcW w:w="675" w:type="pct"/>
            <w:noWrap w:val="0"/>
            <w:vAlign w:val="center"/>
          </w:tcPr>
          <w:p w14:paraId="15DD35F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≥800m²</w:t>
            </w:r>
          </w:p>
        </w:tc>
        <w:tc>
          <w:tcPr>
            <w:tcW w:w="1594" w:type="pct"/>
            <w:gridSpan w:val="3"/>
            <w:noWrap w:val="0"/>
            <w:vAlign w:val="center"/>
          </w:tcPr>
          <w:p w14:paraId="2EBB98E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有一定面积</w:t>
            </w:r>
          </w:p>
        </w:tc>
      </w:tr>
    </w:tbl>
    <w:p w14:paraId="5D4EDE5B">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3.5.4  渔船动态监控管理</w:t>
      </w:r>
    </w:p>
    <w:p w14:paraId="57EF77F7">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各等级渔港的渔船动态监控管理指标参数见表11。</w:t>
      </w:r>
    </w:p>
    <w:p w14:paraId="071A0C8E">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表11 渔船动态监控管理指标参数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13"/>
        <w:gridCol w:w="1009"/>
        <w:gridCol w:w="1009"/>
        <w:gridCol w:w="1009"/>
        <w:gridCol w:w="1009"/>
        <w:gridCol w:w="2000"/>
      </w:tblGrid>
      <w:tr w14:paraId="5788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89" w:type="pct"/>
            <w:noWrap w:val="0"/>
            <w:vAlign w:val="center"/>
          </w:tcPr>
          <w:p w14:paraId="2240C46D">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570" w:type="pct"/>
            <w:noWrap w:val="0"/>
            <w:vAlign w:val="center"/>
          </w:tcPr>
          <w:p w14:paraId="6FF7948A">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中心</w:t>
            </w:r>
          </w:p>
        </w:tc>
        <w:tc>
          <w:tcPr>
            <w:tcW w:w="570" w:type="pct"/>
            <w:noWrap w:val="0"/>
            <w:vAlign w:val="center"/>
          </w:tcPr>
          <w:p w14:paraId="1DD5F4CA">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tc>
        <w:tc>
          <w:tcPr>
            <w:tcW w:w="570" w:type="pct"/>
            <w:noWrap w:val="0"/>
            <w:vAlign w:val="center"/>
          </w:tcPr>
          <w:p w14:paraId="4E9CFE97">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w:t>
            </w:r>
          </w:p>
        </w:tc>
        <w:tc>
          <w:tcPr>
            <w:tcW w:w="570" w:type="pct"/>
            <w:noWrap w:val="0"/>
            <w:vAlign w:val="center"/>
          </w:tcPr>
          <w:p w14:paraId="0FF33910">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w:t>
            </w:r>
          </w:p>
        </w:tc>
        <w:tc>
          <w:tcPr>
            <w:tcW w:w="1128" w:type="pct"/>
            <w:noWrap w:val="0"/>
            <w:vAlign w:val="center"/>
          </w:tcPr>
          <w:p w14:paraId="7C850E65">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30D55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89" w:type="pct"/>
            <w:noWrap w:val="0"/>
            <w:vAlign w:val="center"/>
          </w:tcPr>
          <w:p w14:paraId="30EE3DD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渔船动态监控管理</w:t>
            </w:r>
          </w:p>
        </w:tc>
        <w:tc>
          <w:tcPr>
            <w:tcW w:w="3410" w:type="pct"/>
            <w:gridSpan w:val="5"/>
            <w:noWrap w:val="0"/>
            <w:vAlign w:val="center"/>
          </w:tcPr>
          <w:p w14:paraId="65AD9C5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大中型渔船进出港报告系统填报率100%</w:t>
            </w:r>
          </w:p>
        </w:tc>
      </w:tr>
    </w:tbl>
    <w:p w14:paraId="4CCA2242">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3.5.5  渔港视频监控</w:t>
      </w:r>
      <w:r>
        <w:rPr>
          <w:rFonts w:hint="eastAsia" w:ascii="仿宋_GB2312" w:hAnsi="仿宋_GB2312" w:eastAsia="仿宋_GB2312" w:cs="仿宋_GB2312"/>
          <w:color w:val="auto"/>
          <w:kern w:val="0"/>
          <w:sz w:val="32"/>
          <w:szCs w:val="32"/>
          <w:lang w:eastAsia="zh-CN"/>
        </w:rPr>
        <w:t>。</w:t>
      </w:r>
    </w:p>
    <w:p w14:paraId="7FD82A1A">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渔港的码头、水域为重点公共作业区域，视频监控指标参数见表12。</w:t>
      </w:r>
    </w:p>
    <w:p w14:paraId="3F749D18">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表12 渔港视频监控指标参数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528"/>
        <w:gridCol w:w="1524"/>
        <w:gridCol w:w="1531"/>
        <w:gridCol w:w="719"/>
        <w:gridCol w:w="1423"/>
      </w:tblGrid>
      <w:tr w14:paraId="3AC41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0" w:type="pct"/>
            <w:noWrap w:val="0"/>
            <w:vAlign w:val="center"/>
          </w:tcPr>
          <w:p w14:paraId="5EA6B9EC">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863" w:type="pct"/>
            <w:noWrap w:val="0"/>
            <w:vAlign w:val="center"/>
          </w:tcPr>
          <w:p w14:paraId="76F05D87">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中心</w:t>
            </w:r>
          </w:p>
        </w:tc>
        <w:tc>
          <w:tcPr>
            <w:tcW w:w="861" w:type="pct"/>
            <w:noWrap w:val="0"/>
            <w:vAlign w:val="center"/>
          </w:tcPr>
          <w:p w14:paraId="64C7C247">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一级</w:t>
            </w:r>
          </w:p>
        </w:tc>
        <w:tc>
          <w:tcPr>
            <w:tcW w:w="864" w:type="pct"/>
            <w:noWrap w:val="0"/>
            <w:vAlign w:val="center"/>
          </w:tcPr>
          <w:p w14:paraId="2E5FB671">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二级</w:t>
            </w:r>
          </w:p>
        </w:tc>
        <w:tc>
          <w:tcPr>
            <w:tcW w:w="406" w:type="pct"/>
            <w:noWrap w:val="0"/>
            <w:vAlign w:val="center"/>
          </w:tcPr>
          <w:p w14:paraId="39C413B9">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三级</w:t>
            </w:r>
          </w:p>
        </w:tc>
        <w:tc>
          <w:tcPr>
            <w:tcW w:w="804" w:type="pct"/>
            <w:noWrap w:val="0"/>
            <w:vAlign w:val="center"/>
          </w:tcPr>
          <w:p w14:paraId="1B4B16D9">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0D62A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00" w:type="pct"/>
            <w:noWrap w:val="0"/>
            <w:vAlign w:val="center"/>
          </w:tcPr>
          <w:p w14:paraId="060EDA3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渔港视频监控</w:t>
            </w:r>
          </w:p>
        </w:tc>
        <w:tc>
          <w:tcPr>
            <w:tcW w:w="2589" w:type="pct"/>
            <w:gridSpan w:val="3"/>
            <w:noWrap w:val="0"/>
            <w:vAlign w:val="center"/>
          </w:tcPr>
          <w:p w14:paraId="5D17DCA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码头作业区和渔港水域全覆盖</w:t>
            </w:r>
          </w:p>
        </w:tc>
        <w:tc>
          <w:tcPr>
            <w:tcW w:w="1210" w:type="pct"/>
            <w:gridSpan w:val="2"/>
            <w:noWrap w:val="0"/>
            <w:vAlign w:val="center"/>
          </w:tcPr>
          <w:p w14:paraId="317F9ED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水域全覆盖</w:t>
            </w:r>
          </w:p>
        </w:tc>
      </w:tr>
    </w:tbl>
    <w:p w14:paraId="48036883">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3.5.6  污染防治设施</w:t>
      </w:r>
      <w:r>
        <w:rPr>
          <w:rFonts w:hint="eastAsia" w:ascii="仿宋_GB2312" w:hAnsi="仿宋_GB2312" w:eastAsia="仿宋_GB2312" w:cs="仿宋_GB2312"/>
          <w:color w:val="auto"/>
          <w:kern w:val="0"/>
          <w:sz w:val="32"/>
          <w:szCs w:val="32"/>
          <w:lang w:eastAsia="zh-CN"/>
        </w:rPr>
        <w:t>。</w:t>
      </w:r>
    </w:p>
    <w:p w14:paraId="34C1EBDE">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渔港的污染防治设施配备，应符合《沿海渔港污染防治设施设备配备总体要求》中“4一般要求”的规定，具体指标参数见表13。</w:t>
      </w:r>
    </w:p>
    <w:p w14:paraId="21889880">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表13</w:t>
      </w:r>
      <w:r>
        <w:rPr>
          <w:rFonts w:hint="eastAsia" w:ascii="仿宋_GB2312" w:hAnsi="仿宋_GB2312" w:eastAsia="仿宋_GB2312" w:cs="仿宋_GB2312"/>
          <w:color w:val="auto"/>
          <w:spacing w:val="0"/>
          <w:kern w:val="0"/>
          <w:sz w:val="28"/>
          <w:szCs w:val="28"/>
          <w:lang w:val="en-US" w:eastAsia="zh-CN"/>
        </w:rPr>
        <w:t xml:space="preserve"> </w:t>
      </w:r>
      <w:r>
        <w:rPr>
          <w:rFonts w:hint="eastAsia" w:ascii="仿宋_GB2312" w:hAnsi="仿宋_GB2312" w:eastAsia="仿宋_GB2312" w:cs="仿宋_GB2312"/>
          <w:color w:val="auto"/>
          <w:spacing w:val="0"/>
          <w:kern w:val="0"/>
          <w:sz w:val="28"/>
          <w:szCs w:val="28"/>
        </w:rPr>
        <w:t>污染防治设施指标参数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1"/>
        <w:gridCol w:w="1932"/>
        <w:gridCol w:w="1932"/>
        <w:gridCol w:w="1933"/>
        <w:gridCol w:w="513"/>
        <w:gridCol w:w="1018"/>
      </w:tblGrid>
      <w:tr w14:paraId="283B1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9" w:type="pct"/>
            <w:noWrap w:val="0"/>
            <w:vAlign w:val="center"/>
          </w:tcPr>
          <w:p w14:paraId="625BD1DF">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二级指标</w:t>
            </w:r>
          </w:p>
        </w:tc>
        <w:tc>
          <w:tcPr>
            <w:tcW w:w="1091" w:type="pct"/>
            <w:noWrap w:val="0"/>
            <w:vAlign w:val="center"/>
          </w:tcPr>
          <w:p w14:paraId="1C111001">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中心</w:t>
            </w:r>
          </w:p>
        </w:tc>
        <w:tc>
          <w:tcPr>
            <w:tcW w:w="1091" w:type="pct"/>
            <w:noWrap w:val="0"/>
            <w:vAlign w:val="center"/>
          </w:tcPr>
          <w:p w14:paraId="7764EC7E">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一级</w:t>
            </w:r>
          </w:p>
        </w:tc>
        <w:tc>
          <w:tcPr>
            <w:tcW w:w="1091" w:type="pct"/>
            <w:noWrap w:val="0"/>
            <w:vAlign w:val="center"/>
          </w:tcPr>
          <w:p w14:paraId="42438C00">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二级</w:t>
            </w:r>
          </w:p>
        </w:tc>
        <w:tc>
          <w:tcPr>
            <w:tcW w:w="290" w:type="pct"/>
            <w:noWrap w:val="0"/>
            <w:vAlign w:val="center"/>
          </w:tcPr>
          <w:p w14:paraId="4257058E">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三级</w:t>
            </w:r>
          </w:p>
        </w:tc>
        <w:tc>
          <w:tcPr>
            <w:tcW w:w="575" w:type="pct"/>
            <w:noWrap w:val="0"/>
            <w:vAlign w:val="center"/>
          </w:tcPr>
          <w:p w14:paraId="1D15BC88">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三级以下</w:t>
            </w:r>
          </w:p>
        </w:tc>
      </w:tr>
      <w:tr w14:paraId="328C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9" w:type="pct"/>
            <w:noWrap w:val="0"/>
            <w:vAlign w:val="center"/>
          </w:tcPr>
          <w:p w14:paraId="51618F2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污染防治设施</w:t>
            </w:r>
          </w:p>
        </w:tc>
        <w:tc>
          <w:tcPr>
            <w:tcW w:w="3274" w:type="pct"/>
            <w:gridSpan w:val="3"/>
            <w:noWrap w:val="0"/>
            <w:vAlign w:val="center"/>
          </w:tcPr>
          <w:p w14:paraId="6F4F8052">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spacing w:val="0"/>
                <w:kern w:val="0"/>
                <w:sz w:val="24"/>
                <w:szCs w:val="24"/>
              </w:rPr>
            </w:pPr>
            <w:r>
              <w:rPr>
                <w:rFonts w:hint="eastAsia" w:ascii="仿宋_GB2312" w:hAnsi="仿宋_GB2312" w:eastAsia="仿宋_GB2312" w:cs="仿宋_GB2312"/>
                <w:color w:val="auto"/>
                <w:spacing w:val="0"/>
                <w:kern w:val="0"/>
                <w:sz w:val="24"/>
                <w:szCs w:val="24"/>
              </w:rPr>
              <w:t>满足《沿海渔港污染防治设施设备配备总体要求》中</w:t>
            </w:r>
          </w:p>
          <w:p w14:paraId="5A55F35D">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“4</w:t>
            </w:r>
            <w:r>
              <w:rPr>
                <w:rFonts w:hint="eastAsia" w:ascii="仿宋_GB2312" w:hAnsi="仿宋_GB2312" w:eastAsia="仿宋_GB2312" w:cs="仿宋_GB2312"/>
                <w:color w:val="auto"/>
                <w:spacing w:val="0"/>
                <w:kern w:val="0"/>
                <w:sz w:val="24"/>
                <w:szCs w:val="24"/>
                <w:lang w:val="en-US" w:eastAsia="zh-CN"/>
              </w:rPr>
              <w:t xml:space="preserve"> </w:t>
            </w:r>
            <w:r>
              <w:rPr>
                <w:rFonts w:hint="eastAsia" w:ascii="仿宋_GB2312" w:hAnsi="仿宋_GB2312" w:eastAsia="仿宋_GB2312" w:cs="仿宋_GB2312"/>
                <w:color w:val="auto"/>
                <w:spacing w:val="0"/>
                <w:kern w:val="0"/>
                <w:sz w:val="24"/>
                <w:szCs w:val="24"/>
              </w:rPr>
              <w:t>一般要求”的规定</w:t>
            </w:r>
          </w:p>
        </w:tc>
        <w:tc>
          <w:tcPr>
            <w:tcW w:w="865" w:type="pct"/>
            <w:gridSpan w:val="2"/>
            <w:noWrap w:val="0"/>
            <w:vAlign w:val="center"/>
          </w:tcPr>
          <w:p w14:paraId="1E9BF68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有</w:t>
            </w:r>
          </w:p>
        </w:tc>
      </w:tr>
    </w:tbl>
    <w:p w14:paraId="7A07836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3.5.7  应急管理设施</w:t>
      </w:r>
      <w:r>
        <w:rPr>
          <w:rFonts w:hint="eastAsia" w:ascii="仿宋_GB2312" w:hAnsi="仿宋_GB2312" w:eastAsia="仿宋_GB2312" w:cs="仿宋_GB2312"/>
          <w:color w:val="auto"/>
          <w:kern w:val="0"/>
          <w:sz w:val="32"/>
          <w:szCs w:val="32"/>
          <w:lang w:eastAsia="zh-CN"/>
        </w:rPr>
        <w:t>。</w:t>
      </w:r>
    </w:p>
    <w:p w14:paraId="5F968EFE">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渔港的消防设施配备，应符合《建筑防火通用规范》《广东省渔港（停泊区）渔船消防安全设施配备指引（试行）》（粤农农函〔2022〕937号）等相关标准；渔港的应急、救助、供电等应满足渔港应急管理需求，具体指标参数见表14。</w:t>
      </w:r>
    </w:p>
    <w:p w14:paraId="690C1B52">
      <w:pPr>
        <w:adjustRightInd w:val="0"/>
        <w:snapToGrid w:val="0"/>
        <w:spacing w:beforeLines="0" w:afterLines="0" w:line="590" w:lineRule="exact"/>
        <w:ind w:firstLine="0" w:firstLineChars="0"/>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pacing w:val="0"/>
          <w:kern w:val="0"/>
          <w:sz w:val="28"/>
          <w:szCs w:val="28"/>
        </w:rPr>
        <w:t>表14 应急管理设施指标参数</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62"/>
        <w:gridCol w:w="1836"/>
        <w:gridCol w:w="1836"/>
        <w:gridCol w:w="1840"/>
        <w:gridCol w:w="561"/>
        <w:gridCol w:w="1114"/>
      </w:tblGrid>
      <w:tr w14:paraId="1120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39" w:type="pct"/>
            <w:noWrap w:val="0"/>
            <w:vAlign w:val="center"/>
          </w:tcPr>
          <w:p w14:paraId="2470FFAE">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1037" w:type="pct"/>
            <w:noWrap w:val="0"/>
            <w:vAlign w:val="center"/>
          </w:tcPr>
          <w:p w14:paraId="65591833">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中心</w:t>
            </w:r>
          </w:p>
        </w:tc>
        <w:tc>
          <w:tcPr>
            <w:tcW w:w="1037" w:type="pct"/>
            <w:noWrap w:val="0"/>
            <w:vAlign w:val="center"/>
          </w:tcPr>
          <w:p w14:paraId="78511008">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一级</w:t>
            </w:r>
          </w:p>
        </w:tc>
        <w:tc>
          <w:tcPr>
            <w:tcW w:w="1037" w:type="pct"/>
            <w:noWrap w:val="0"/>
            <w:vAlign w:val="center"/>
          </w:tcPr>
          <w:p w14:paraId="369DE300">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二级</w:t>
            </w:r>
          </w:p>
        </w:tc>
        <w:tc>
          <w:tcPr>
            <w:tcW w:w="317" w:type="pct"/>
            <w:noWrap w:val="0"/>
            <w:vAlign w:val="center"/>
          </w:tcPr>
          <w:p w14:paraId="1BC114F9">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三级</w:t>
            </w:r>
          </w:p>
        </w:tc>
        <w:tc>
          <w:tcPr>
            <w:tcW w:w="628" w:type="pct"/>
            <w:noWrap w:val="0"/>
            <w:vAlign w:val="center"/>
          </w:tcPr>
          <w:p w14:paraId="44397ED1">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4"/>
                <w:szCs w:val="24"/>
              </w:rPr>
            </w:pPr>
            <w:r>
              <w:rPr>
                <w:rFonts w:hint="eastAsia" w:ascii="黑体" w:hAnsi="黑体" w:eastAsia="黑体" w:cs="黑体"/>
                <w:b w:val="0"/>
                <w:bCs w:val="0"/>
                <w:color w:val="auto"/>
                <w:spacing w:val="0"/>
                <w:kern w:val="0"/>
                <w:sz w:val="24"/>
                <w:szCs w:val="24"/>
              </w:rPr>
              <w:t>三级以下</w:t>
            </w:r>
          </w:p>
        </w:tc>
      </w:tr>
      <w:tr w14:paraId="6E8C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39" w:type="pct"/>
            <w:noWrap w:val="0"/>
            <w:vAlign w:val="center"/>
          </w:tcPr>
          <w:p w14:paraId="0BB45288">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pacing w:val="0"/>
                <w:kern w:val="0"/>
                <w:sz w:val="24"/>
                <w:szCs w:val="24"/>
              </w:rPr>
              <w:t>应急管理设施</w:t>
            </w:r>
          </w:p>
        </w:tc>
        <w:tc>
          <w:tcPr>
            <w:tcW w:w="3113" w:type="pct"/>
            <w:gridSpan w:val="3"/>
            <w:noWrap w:val="0"/>
            <w:vAlign w:val="center"/>
          </w:tcPr>
          <w:p w14:paraId="765BF5A2">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spacing w:val="0"/>
                <w:kern w:val="0"/>
                <w:sz w:val="24"/>
                <w:szCs w:val="24"/>
              </w:rPr>
              <w:t>港区消防、救助、应急供电设施满足应急需求</w:t>
            </w:r>
          </w:p>
        </w:tc>
        <w:tc>
          <w:tcPr>
            <w:tcW w:w="946" w:type="pct"/>
            <w:gridSpan w:val="2"/>
            <w:noWrap w:val="0"/>
            <w:vAlign w:val="center"/>
          </w:tcPr>
          <w:p w14:paraId="05B813EA">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rPr>
              <w:t>有</w:t>
            </w:r>
          </w:p>
        </w:tc>
      </w:tr>
    </w:tbl>
    <w:p w14:paraId="4F09E39D">
      <w:pPr>
        <w:adjustRightInd w:val="0"/>
        <w:snapToGrid w:val="0"/>
        <w:spacing w:before="0" w:beforeLines="0" w:afterLines="0" w:line="59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pacing w:val="0"/>
          <w:kern w:val="0"/>
          <w:sz w:val="32"/>
          <w:szCs w:val="32"/>
        </w:rPr>
        <w:t>4</w:t>
      </w: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eastAsia" w:ascii="仿宋_GB2312" w:hAnsi="仿宋_GB2312" w:eastAsia="仿宋_GB2312" w:cs="仿宋_GB2312"/>
          <w:b w:val="0"/>
          <w:bCs w:val="0"/>
          <w:color w:val="auto"/>
          <w:spacing w:val="0"/>
          <w:kern w:val="0"/>
          <w:sz w:val="32"/>
          <w:szCs w:val="32"/>
        </w:rPr>
        <w:t>沿海渔港等级认定指标分数计算方法</w:t>
      </w:r>
    </w:p>
    <w:p w14:paraId="61D6F5E9">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4.1  渔港等级认定采取量化打分形式，认定标准指标的综合得分满分为100分，渔港的指标参数满足相应认定等级约束性指标标准，且二级指标综合得分大于等于80分即可获得认定。</w:t>
      </w:r>
    </w:p>
    <w:p w14:paraId="26C5950B">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4.2  等级认定指标体系的“一级指标”中，基础指标权重20%、规模指标权重30%、服务能力指标权重20%、监管能力指标权重30%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权重数值即分值。</w:t>
      </w:r>
    </w:p>
    <w:p w14:paraId="7B3497D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4.3  指标参数满足申报渔港等级的“二级指标”标准，即得该项指标分数；指标参数不满足申报渔港等级的“二级指标”</w:t>
      </w:r>
      <w:r>
        <w:rPr>
          <w:rFonts w:hint="eastAsia" w:ascii="仿宋_GB2312" w:hAnsi="仿宋_GB2312" w:eastAsia="仿宋_GB2312" w:cs="仿宋_GB2312"/>
          <w:color w:val="auto"/>
          <w:spacing w:val="0"/>
          <w:kern w:val="0"/>
          <w:sz w:val="32"/>
          <w:szCs w:val="32"/>
        </w:rPr>
        <w:t>标准的，该项指标得分为“0”。综合得分为“二级指标”得分之和。</w:t>
      </w:r>
    </w:p>
    <w:p w14:paraId="58C62147">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4.4  渔港等级认定指标计分按表15确定。</w:t>
      </w:r>
    </w:p>
    <w:p w14:paraId="57C75A3E">
      <w:pPr>
        <w:adjustRightInd w:val="0"/>
        <w:snapToGrid w:val="0"/>
        <w:spacing w:beforeLines="0" w:afterLines="0" w:line="590" w:lineRule="exact"/>
        <w:ind w:firstLine="0" w:firstLineChars="0"/>
        <w:jc w:val="center"/>
        <w:rPr>
          <w:rFonts w:hint="eastAsia"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表15 渔港等级认定指标计分表</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37"/>
        <w:gridCol w:w="3727"/>
        <w:gridCol w:w="2186"/>
      </w:tblGrid>
      <w:tr w14:paraId="4641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blHeader/>
          <w:jc w:val="center"/>
        </w:trPr>
        <w:tc>
          <w:tcPr>
            <w:tcW w:w="1659" w:type="pct"/>
            <w:noWrap w:val="0"/>
            <w:vAlign w:val="center"/>
          </w:tcPr>
          <w:p w14:paraId="648F7080">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一级指标</w:t>
            </w:r>
          </w:p>
        </w:tc>
        <w:tc>
          <w:tcPr>
            <w:tcW w:w="2105" w:type="pct"/>
            <w:noWrap w:val="0"/>
            <w:vAlign w:val="center"/>
          </w:tcPr>
          <w:p w14:paraId="2941411B">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二级指标</w:t>
            </w:r>
          </w:p>
        </w:tc>
        <w:tc>
          <w:tcPr>
            <w:tcW w:w="1235" w:type="pct"/>
            <w:noWrap w:val="0"/>
            <w:vAlign w:val="center"/>
          </w:tcPr>
          <w:p w14:paraId="2B68C53C">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分值</w:t>
            </w:r>
          </w:p>
        </w:tc>
      </w:tr>
      <w:tr w14:paraId="2B81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restart"/>
            <w:noWrap w:val="0"/>
            <w:vAlign w:val="center"/>
          </w:tcPr>
          <w:p w14:paraId="779FA1E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position w:val="0"/>
                <w:sz w:val="24"/>
                <w:szCs w:val="24"/>
              </w:rPr>
              <w:t>基础指标</w:t>
            </w:r>
          </w:p>
          <w:p w14:paraId="7471DA59">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20%</w:t>
            </w:r>
          </w:p>
        </w:tc>
        <w:tc>
          <w:tcPr>
            <w:tcW w:w="2105" w:type="pct"/>
            <w:noWrap w:val="0"/>
            <w:vAlign w:val="center"/>
          </w:tcPr>
          <w:p w14:paraId="5A06BD8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渔港港章、港界</w:t>
            </w:r>
          </w:p>
        </w:tc>
        <w:tc>
          <w:tcPr>
            <w:tcW w:w="1235" w:type="pct"/>
            <w:noWrap w:val="0"/>
            <w:vAlign w:val="center"/>
          </w:tcPr>
          <w:p w14:paraId="5858479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r>
      <w:tr w14:paraId="0E55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74F7B18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59C0B15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界限标识</w:t>
            </w:r>
          </w:p>
        </w:tc>
        <w:tc>
          <w:tcPr>
            <w:tcW w:w="1235" w:type="pct"/>
            <w:noWrap w:val="0"/>
            <w:vAlign w:val="center"/>
          </w:tcPr>
          <w:p w14:paraId="6F8248F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4*</w:t>
            </w:r>
          </w:p>
        </w:tc>
      </w:tr>
      <w:tr w14:paraId="3CBF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07A69FE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208117F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权属清单</w:t>
            </w:r>
          </w:p>
        </w:tc>
        <w:tc>
          <w:tcPr>
            <w:tcW w:w="1235" w:type="pct"/>
            <w:noWrap w:val="0"/>
            <w:vAlign w:val="center"/>
          </w:tcPr>
          <w:p w14:paraId="01DE7C1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6*</w:t>
            </w:r>
          </w:p>
        </w:tc>
      </w:tr>
      <w:tr w14:paraId="03AE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restart"/>
            <w:noWrap w:val="0"/>
            <w:vAlign w:val="center"/>
          </w:tcPr>
          <w:p w14:paraId="1F2DF76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position w:val="0"/>
                <w:sz w:val="24"/>
                <w:szCs w:val="24"/>
              </w:rPr>
              <w:t>规模指标</w:t>
            </w:r>
          </w:p>
          <w:p w14:paraId="42E0FE9C">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30%</w:t>
            </w:r>
          </w:p>
        </w:tc>
        <w:tc>
          <w:tcPr>
            <w:tcW w:w="2105" w:type="pct"/>
            <w:noWrap w:val="0"/>
            <w:vAlign w:val="center"/>
          </w:tcPr>
          <w:p w14:paraId="160B6D3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码头长度</w:t>
            </w:r>
          </w:p>
        </w:tc>
        <w:tc>
          <w:tcPr>
            <w:tcW w:w="1235" w:type="pct"/>
            <w:noWrap w:val="0"/>
            <w:vAlign w:val="center"/>
          </w:tcPr>
          <w:p w14:paraId="216D337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r>
      <w:tr w14:paraId="3564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71EC559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6942D0B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水域面积</w:t>
            </w:r>
          </w:p>
        </w:tc>
        <w:tc>
          <w:tcPr>
            <w:tcW w:w="1235" w:type="pct"/>
            <w:noWrap w:val="0"/>
            <w:vAlign w:val="center"/>
          </w:tcPr>
          <w:p w14:paraId="54ED945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r>
      <w:tr w14:paraId="6F51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2230B58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2399A1B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陆域面积</w:t>
            </w:r>
          </w:p>
        </w:tc>
        <w:tc>
          <w:tcPr>
            <w:tcW w:w="1235" w:type="pct"/>
            <w:noWrap w:val="0"/>
            <w:vAlign w:val="center"/>
          </w:tcPr>
          <w:p w14:paraId="0F778E5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r>
      <w:tr w14:paraId="1066E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restart"/>
            <w:noWrap w:val="0"/>
            <w:vAlign w:val="center"/>
          </w:tcPr>
          <w:p w14:paraId="5A6009E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position w:val="0"/>
                <w:sz w:val="24"/>
                <w:szCs w:val="24"/>
              </w:rPr>
              <w:t>服务能力指标</w:t>
            </w:r>
          </w:p>
          <w:p w14:paraId="22400DC5">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20%</w:t>
            </w:r>
          </w:p>
        </w:tc>
        <w:tc>
          <w:tcPr>
            <w:tcW w:w="2105" w:type="pct"/>
            <w:noWrap w:val="0"/>
            <w:vAlign w:val="center"/>
          </w:tcPr>
          <w:p w14:paraId="68DD247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可靠泊渔船能力</w:t>
            </w:r>
          </w:p>
        </w:tc>
        <w:tc>
          <w:tcPr>
            <w:tcW w:w="1235" w:type="pct"/>
            <w:noWrap w:val="0"/>
            <w:vAlign w:val="center"/>
          </w:tcPr>
          <w:p w14:paraId="6683882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r>
      <w:tr w14:paraId="58C6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16985A7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54967F9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可容纳锚泊渔船数量</w:t>
            </w:r>
          </w:p>
        </w:tc>
        <w:tc>
          <w:tcPr>
            <w:tcW w:w="1235" w:type="pct"/>
            <w:noWrap w:val="0"/>
            <w:vAlign w:val="center"/>
          </w:tcPr>
          <w:p w14:paraId="24FD88D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8*</w:t>
            </w:r>
          </w:p>
        </w:tc>
      </w:tr>
      <w:tr w14:paraId="7F43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30725F6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2232027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渔获物年卸港量</w:t>
            </w:r>
          </w:p>
        </w:tc>
        <w:tc>
          <w:tcPr>
            <w:tcW w:w="1235" w:type="pct"/>
            <w:noWrap w:val="0"/>
            <w:vAlign w:val="center"/>
          </w:tcPr>
          <w:p w14:paraId="3C7FB60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7*</w:t>
            </w:r>
          </w:p>
        </w:tc>
      </w:tr>
      <w:tr w14:paraId="3693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restart"/>
            <w:noWrap w:val="0"/>
            <w:vAlign w:val="center"/>
          </w:tcPr>
          <w:p w14:paraId="7129A48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position w:val="0"/>
                <w:sz w:val="24"/>
                <w:szCs w:val="24"/>
              </w:rPr>
              <w:t>监管能力指标</w:t>
            </w:r>
          </w:p>
          <w:p w14:paraId="5A75EB8D">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30%</w:t>
            </w:r>
          </w:p>
        </w:tc>
        <w:tc>
          <w:tcPr>
            <w:tcW w:w="2105" w:type="pct"/>
            <w:noWrap w:val="0"/>
            <w:vAlign w:val="center"/>
          </w:tcPr>
          <w:p w14:paraId="4C3850E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渔港监督管理机构</w:t>
            </w:r>
          </w:p>
        </w:tc>
        <w:tc>
          <w:tcPr>
            <w:tcW w:w="1235" w:type="pct"/>
            <w:noWrap w:val="0"/>
            <w:vAlign w:val="center"/>
          </w:tcPr>
          <w:p w14:paraId="7A52B9B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6*</w:t>
            </w:r>
          </w:p>
        </w:tc>
      </w:tr>
      <w:tr w14:paraId="14B6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49CC31A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58A57CB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港务管理机构</w:t>
            </w:r>
          </w:p>
        </w:tc>
        <w:tc>
          <w:tcPr>
            <w:tcW w:w="1235" w:type="pct"/>
            <w:noWrap w:val="0"/>
            <w:vAlign w:val="center"/>
          </w:tcPr>
          <w:p w14:paraId="1771058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6*</w:t>
            </w:r>
          </w:p>
        </w:tc>
      </w:tr>
      <w:tr w14:paraId="002B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18D5988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665628E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渔港综合管理服务中心</w:t>
            </w:r>
          </w:p>
        </w:tc>
        <w:tc>
          <w:tcPr>
            <w:tcW w:w="1235" w:type="pct"/>
            <w:noWrap w:val="0"/>
            <w:vAlign w:val="center"/>
          </w:tcPr>
          <w:p w14:paraId="6AC4C41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r>
      <w:tr w14:paraId="074A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40DC3F3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04262AC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渔船动态监控管理</w:t>
            </w:r>
          </w:p>
        </w:tc>
        <w:tc>
          <w:tcPr>
            <w:tcW w:w="1235" w:type="pct"/>
            <w:noWrap w:val="0"/>
            <w:vAlign w:val="center"/>
          </w:tcPr>
          <w:p w14:paraId="632CD9B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4*</w:t>
            </w:r>
          </w:p>
        </w:tc>
      </w:tr>
      <w:tr w14:paraId="1AB3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3285B65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4C9ADD0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渔港视频监控</w:t>
            </w:r>
          </w:p>
        </w:tc>
        <w:tc>
          <w:tcPr>
            <w:tcW w:w="1235" w:type="pct"/>
            <w:noWrap w:val="0"/>
            <w:vAlign w:val="center"/>
          </w:tcPr>
          <w:p w14:paraId="7651CA0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r>
      <w:tr w14:paraId="5B62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1FFA649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3357E89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污染防治设施</w:t>
            </w:r>
          </w:p>
        </w:tc>
        <w:tc>
          <w:tcPr>
            <w:tcW w:w="1235" w:type="pct"/>
            <w:noWrap w:val="0"/>
            <w:vAlign w:val="center"/>
          </w:tcPr>
          <w:p w14:paraId="335DFE3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r>
      <w:tr w14:paraId="54C1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659" w:type="pct"/>
            <w:vMerge w:val="continue"/>
            <w:noWrap w:val="0"/>
            <w:vAlign w:val="center"/>
          </w:tcPr>
          <w:p w14:paraId="1422B61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2105" w:type="pct"/>
            <w:noWrap w:val="0"/>
            <w:vAlign w:val="center"/>
          </w:tcPr>
          <w:p w14:paraId="4BD626B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应急管理设施</w:t>
            </w:r>
          </w:p>
        </w:tc>
        <w:tc>
          <w:tcPr>
            <w:tcW w:w="1235" w:type="pct"/>
            <w:noWrap w:val="0"/>
            <w:vAlign w:val="center"/>
          </w:tcPr>
          <w:p w14:paraId="67F5B27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r>
    </w:tbl>
    <w:p w14:paraId="1693957E">
      <w:pPr>
        <w:adjustRightInd w:val="0"/>
        <w:snapToGrid w:val="0"/>
        <w:spacing w:before="0" w:beforeLines="0" w:afterLines="0" w:line="590" w:lineRule="exact"/>
        <w:ind w:left="0" w:firstLine="0" w:firstLineChars="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b/>
          <w:bCs/>
          <w:color w:val="auto"/>
          <w:spacing w:val="0"/>
          <w:kern w:val="0"/>
          <w:sz w:val="28"/>
          <w:szCs w:val="28"/>
        </w:rPr>
        <w:t>注：标*分值指标为约束性指标。</w:t>
      </w:r>
    </w:p>
    <w:p w14:paraId="0BD4010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p>
    <w:p w14:paraId="2B530ADF">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附录：1.沿海渔港等级认定标准指标与参数</w:t>
      </w:r>
    </w:p>
    <w:p w14:paraId="59194726">
      <w:pPr>
        <w:adjustRightInd w:val="0"/>
        <w:snapToGrid w:val="0"/>
        <w:spacing w:beforeLines="0" w:afterLines="0" w:line="590" w:lineRule="exact"/>
        <w:ind w:firstLine="1600" w:firstLineChars="5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2.沿海渔港等级认定标准相关指标的说明</w:t>
      </w:r>
    </w:p>
    <w:p w14:paraId="75DB4BBA">
      <w:pPr>
        <w:adjustRightInd w:val="0"/>
        <w:snapToGrid w:val="0"/>
        <w:spacing w:beforeLines="0" w:afterLines="0" w:line="590" w:lineRule="exact"/>
        <w:ind w:firstLine="1600" w:firstLineChars="500"/>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3.渔港权属清单</w:t>
      </w:r>
    </w:p>
    <w:p w14:paraId="6BDFE389">
      <w:pPr>
        <w:adjustRightInd w:val="0"/>
        <w:snapToGrid w:val="0"/>
        <w:spacing w:beforeLines="0" w:afterLines="0" w:line="590" w:lineRule="exact"/>
        <w:ind w:firstLine="0" w:firstLineChars="0"/>
        <w:textAlignment w:val="baseline"/>
        <w:rPr>
          <w:rFonts w:hint="eastAsia" w:ascii="黑体" w:hAnsi="黑体" w:eastAsia="黑体" w:cs="黑体"/>
          <w:color w:val="auto"/>
          <w:kern w:val="0"/>
          <w:sz w:val="32"/>
          <w:szCs w:val="32"/>
        </w:rPr>
      </w:pPr>
      <w:r>
        <w:rPr>
          <w:rFonts w:hint="eastAsia" w:ascii="仿宋_GB2312" w:hAnsi="仿宋_GB2312" w:eastAsia="仿宋_GB2312" w:cs="仿宋_GB2312"/>
          <w:color w:val="auto"/>
          <w:spacing w:val="0"/>
          <w:kern w:val="0"/>
          <w:sz w:val="32"/>
          <w:szCs w:val="32"/>
        </w:rPr>
        <w:br w:type="page"/>
      </w:r>
      <w:r>
        <w:rPr>
          <w:rFonts w:hint="eastAsia" w:ascii="黑体" w:hAnsi="黑体" w:eastAsia="黑体" w:cs="黑体"/>
          <w:color w:val="auto"/>
          <w:spacing w:val="0"/>
          <w:kern w:val="0"/>
          <w:sz w:val="32"/>
          <w:szCs w:val="32"/>
        </w:rPr>
        <w:t>附录1</w:t>
      </w:r>
    </w:p>
    <w:p w14:paraId="260FF4BC">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rPr>
      </w:pPr>
    </w:p>
    <w:p w14:paraId="71345BB4">
      <w:pPr>
        <w:adjustRightInd w:val="0"/>
        <w:snapToGrid w:val="0"/>
        <w:spacing w:before="0"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spacing w:val="0"/>
          <w:kern w:val="0"/>
          <w:sz w:val="44"/>
          <w:szCs w:val="44"/>
        </w:rPr>
        <w:t>广东省沿海渔港等级认定标准指标与参数</w:t>
      </w:r>
    </w:p>
    <w:p w14:paraId="0B8CA417">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420"/>
        <w:gridCol w:w="2120"/>
        <w:gridCol w:w="1330"/>
        <w:gridCol w:w="1380"/>
        <w:gridCol w:w="1110"/>
        <w:gridCol w:w="965"/>
        <w:gridCol w:w="1865"/>
      </w:tblGrid>
      <w:tr w14:paraId="26D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49" w:type="dxa"/>
            <w:vMerge w:val="restart"/>
            <w:tcBorders>
              <w:left w:val="nil"/>
              <w:bottom w:val="nil"/>
            </w:tcBorders>
            <w:noWrap w:val="0"/>
            <w:vAlign w:val="center"/>
          </w:tcPr>
          <w:p w14:paraId="61C9273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val="0"/>
                <w:bCs w:val="0"/>
                <w:color w:val="auto"/>
                <w:spacing w:val="0"/>
                <w:kern w:val="0"/>
                <w:position w:val="0"/>
                <w:sz w:val="20"/>
                <w:szCs w:val="20"/>
              </w:rPr>
              <w:t>一级</w:t>
            </w:r>
          </w:p>
          <w:p w14:paraId="7CDD91F6">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val="0"/>
                <w:bCs w:val="0"/>
                <w:color w:val="auto"/>
                <w:spacing w:val="0"/>
                <w:kern w:val="0"/>
                <w:sz w:val="20"/>
                <w:szCs w:val="20"/>
              </w:rPr>
              <w:t>指标</w:t>
            </w:r>
          </w:p>
        </w:tc>
        <w:tc>
          <w:tcPr>
            <w:tcW w:w="420" w:type="dxa"/>
            <w:vMerge w:val="restart"/>
            <w:tcBorders>
              <w:bottom w:val="nil"/>
            </w:tcBorders>
            <w:noWrap w:val="0"/>
            <w:vAlign w:val="center"/>
          </w:tcPr>
          <w:p w14:paraId="3E5C0C9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spacing w:val="0"/>
                <w:kern w:val="0"/>
                <w:sz w:val="20"/>
                <w:szCs w:val="20"/>
              </w:rPr>
            </w:pPr>
            <w:r>
              <w:rPr>
                <w:rFonts w:hint="eastAsia" w:ascii="仿宋_GB2312" w:hAnsi="仿宋_GB2312" w:eastAsia="仿宋_GB2312" w:cs="仿宋_GB2312"/>
                <w:color w:val="auto"/>
                <w:spacing w:val="0"/>
                <w:kern w:val="0"/>
                <w:sz w:val="20"/>
                <w:szCs w:val="20"/>
              </w:rPr>
              <w:t>序</w:t>
            </w:r>
          </w:p>
          <w:p w14:paraId="7FDE30D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号</w:t>
            </w:r>
          </w:p>
        </w:tc>
        <w:tc>
          <w:tcPr>
            <w:tcW w:w="2120" w:type="dxa"/>
            <w:vMerge w:val="restart"/>
            <w:tcBorders>
              <w:bottom w:val="nil"/>
            </w:tcBorders>
            <w:noWrap w:val="0"/>
            <w:vAlign w:val="center"/>
          </w:tcPr>
          <w:p w14:paraId="050912A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val="0"/>
                <w:bCs w:val="0"/>
                <w:color w:val="auto"/>
                <w:spacing w:val="0"/>
                <w:kern w:val="0"/>
                <w:sz w:val="20"/>
                <w:szCs w:val="20"/>
              </w:rPr>
              <w:t>二级指标</w:t>
            </w:r>
          </w:p>
        </w:tc>
        <w:tc>
          <w:tcPr>
            <w:tcW w:w="6650" w:type="dxa"/>
            <w:gridSpan w:val="5"/>
            <w:tcBorders>
              <w:right w:val="nil"/>
            </w:tcBorders>
            <w:noWrap w:val="0"/>
            <w:vAlign w:val="center"/>
          </w:tcPr>
          <w:p w14:paraId="729CB20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指标参数</w:t>
            </w:r>
          </w:p>
        </w:tc>
      </w:tr>
      <w:tr w14:paraId="2D7C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tcBorders>
            <w:noWrap w:val="0"/>
            <w:vAlign w:val="center"/>
          </w:tcPr>
          <w:p w14:paraId="1F14D7A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vMerge w:val="continue"/>
            <w:tcBorders>
              <w:top w:val="nil"/>
            </w:tcBorders>
            <w:noWrap w:val="0"/>
            <w:textDirection w:val="tbRlV"/>
            <w:vAlign w:val="center"/>
          </w:tcPr>
          <w:p w14:paraId="26998EF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2120" w:type="dxa"/>
            <w:vMerge w:val="continue"/>
            <w:tcBorders>
              <w:top w:val="nil"/>
            </w:tcBorders>
            <w:noWrap w:val="0"/>
            <w:vAlign w:val="center"/>
          </w:tcPr>
          <w:p w14:paraId="6564D7D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1330" w:type="dxa"/>
            <w:noWrap w:val="0"/>
            <w:vAlign w:val="center"/>
          </w:tcPr>
          <w:p w14:paraId="4565261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val="0"/>
                <w:bCs w:val="0"/>
                <w:color w:val="auto"/>
                <w:spacing w:val="0"/>
                <w:kern w:val="0"/>
                <w:sz w:val="20"/>
                <w:szCs w:val="20"/>
              </w:rPr>
              <w:t>中心</w:t>
            </w:r>
          </w:p>
        </w:tc>
        <w:tc>
          <w:tcPr>
            <w:tcW w:w="1380" w:type="dxa"/>
            <w:noWrap w:val="0"/>
            <w:vAlign w:val="center"/>
          </w:tcPr>
          <w:p w14:paraId="75EB07B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val="0"/>
                <w:bCs w:val="0"/>
                <w:color w:val="auto"/>
                <w:spacing w:val="0"/>
                <w:kern w:val="0"/>
                <w:sz w:val="20"/>
                <w:szCs w:val="20"/>
              </w:rPr>
              <w:t>一级</w:t>
            </w:r>
          </w:p>
        </w:tc>
        <w:tc>
          <w:tcPr>
            <w:tcW w:w="1110" w:type="dxa"/>
            <w:noWrap w:val="0"/>
            <w:vAlign w:val="center"/>
          </w:tcPr>
          <w:p w14:paraId="755ECDE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二级</w:t>
            </w:r>
          </w:p>
        </w:tc>
        <w:tc>
          <w:tcPr>
            <w:tcW w:w="965" w:type="dxa"/>
            <w:noWrap w:val="0"/>
            <w:vAlign w:val="center"/>
          </w:tcPr>
          <w:p w14:paraId="58D76F4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三级</w:t>
            </w:r>
          </w:p>
        </w:tc>
        <w:tc>
          <w:tcPr>
            <w:tcW w:w="1865" w:type="dxa"/>
            <w:tcBorders>
              <w:right w:val="nil"/>
            </w:tcBorders>
            <w:noWrap w:val="0"/>
            <w:vAlign w:val="center"/>
          </w:tcPr>
          <w:p w14:paraId="2D62D8A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三级以下</w:t>
            </w:r>
          </w:p>
        </w:tc>
      </w:tr>
      <w:tr w14:paraId="1A45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restart"/>
            <w:tcBorders>
              <w:left w:val="nil"/>
              <w:bottom w:val="nil"/>
            </w:tcBorders>
            <w:noWrap w:val="0"/>
            <w:vAlign w:val="center"/>
          </w:tcPr>
          <w:p w14:paraId="4E846B1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position w:val="0"/>
                <w:sz w:val="20"/>
                <w:szCs w:val="20"/>
              </w:rPr>
              <w:t>基础</w:t>
            </w:r>
          </w:p>
          <w:p w14:paraId="4F3475DF">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指标</w:t>
            </w:r>
          </w:p>
        </w:tc>
        <w:tc>
          <w:tcPr>
            <w:tcW w:w="420" w:type="dxa"/>
            <w:noWrap w:val="0"/>
            <w:vAlign w:val="center"/>
          </w:tcPr>
          <w:p w14:paraId="247CD77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120" w:type="dxa"/>
            <w:noWrap w:val="0"/>
            <w:vAlign w:val="center"/>
          </w:tcPr>
          <w:p w14:paraId="366550E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渔港港章、港界</w:t>
            </w:r>
          </w:p>
        </w:tc>
        <w:tc>
          <w:tcPr>
            <w:tcW w:w="6650" w:type="dxa"/>
            <w:gridSpan w:val="5"/>
            <w:tcBorders>
              <w:right w:val="nil"/>
            </w:tcBorders>
            <w:noWrap w:val="0"/>
            <w:vAlign w:val="center"/>
          </w:tcPr>
          <w:p w14:paraId="413AEED0">
            <w:pPr>
              <w:adjustRightInd w:val="0"/>
              <w:snapToGrid w:val="0"/>
              <w:spacing w:before="0" w:beforeLines="0" w:afterLines="0" w:line="240" w:lineRule="auto"/>
              <w:ind w:left="0"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渔港港章、港界应由县级及以上人民政府发布。</w:t>
            </w:r>
          </w:p>
          <w:p w14:paraId="1FAD5EDE">
            <w:pPr>
              <w:adjustRightInd w:val="0"/>
              <w:snapToGrid w:val="0"/>
              <w:spacing w:before="0" w:beforeLines="0" w:afterLines="0" w:line="240" w:lineRule="auto"/>
              <w:ind w:left="0" w:right="0"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渔港港章应当包括对渔港概况</w:t>
            </w:r>
            <w:r>
              <w:rPr>
                <w:rFonts w:hint="eastAsia" w:ascii="仿宋_GB2312" w:hAnsi="仿宋_GB2312" w:eastAsia="仿宋_GB2312" w:cs="仿宋_GB2312"/>
                <w:color w:val="auto"/>
                <w:spacing w:val="0"/>
                <w:kern w:val="0"/>
                <w:sz w:val="20"/>
                <w:szCs w:val="20"/>
                <w:lang w:eastAsia="zh-CN"/>
              </w:rPr>
              <w:t>（</w:t>
            </w:r>
            <w:r>
              <w:rPr>
                <w:rFonts w:hint="eastAsia" w:ascii="仿宋_GB2312" w:hAnsi="仿宋_GB2312" w:eastAsia="仿宋_GB2312" w:cs="仿宋_GB2312"/>
                <w:color w:val="auto"/>
                <w:spacing w:val="0"/>
                <w:kern w:val="0"/>
                <w:sz w:val="20"/>
                <w:szCs w:val="20"/>
              </w:rPr>
              <w:t>渔港位置、自然条件、范围、水域、陆域、主要码头设施与设备</w:t>
            </w:r>
            <w:r>
              <w:rPr>
                <w:rFonts w:hint="eastAsia" w:ascii="仿宋_GB2312" w:hAnsi="仿宋_GB2312" w:eastAsia="仿宋_GB2312" w:cs="仿宋_GB2312"/>
                <w:color w:val="auto"/>
                <w:spacing w:val="0"/>
                <w:kern w:val="0"/>
                <w:sz w:val="20"/>
                <w:szCs w:val="20"/>
                <w:lang w:eastAsia="zh-CN"/>
              </w:rPr>
              <w:t>）</w:t>
            </w:r>
            <w:r>
              <w:rPr>
                <w:rFonts w:hint="eastAsia" w:ascii="仿宋_GB2312" w:hAnsi="仿宋_GB2312" w:eastAsia="仿宋_GB2312" w:cs="仿宋_GB2312"/>
                <w:color w:val="auto"/>
                <w:spacing w:val="0"/>
                <w:kern w:val="0"/>
                <w:sz w:val="20"/>
                <w:szCs w:val="20"/>
              </w:rPr>
              <w:t>、渔港管理机构、公用设施及管理、船舶管理、渔获物管理、渔港经营与服务、渔港安全与环境保护、渔港应急事件处理、禁止与限制性规定等情况的说明，及本渔港贯彻执行有关渔港管理的法律、法规及渔业行政主管部门有关规定的具体措施。</w:t>
            </w:r>
          </w:p>
          <w:p w14:paraId="62047178">
            <w:pPr>
              <w:adjustRightInd w:val="0"/>
              <w:snapToGrid w:val="0"/>
              <w:spacing w:before="0" w:beforeLines="0" w:afterLines="0" w:line="240" w:lineRule="auto"/>
              <w:ind w:left="0" w:right="0"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渔港港界应清晰反映渔港边界，港界图应以渔港总体平面布置图或渔港总体规划布局图为基础绘制。</w:t>
            </w:r>
          </w:p>
          <w:p w14:paraId="44F8AF48">
            <w:pPr>
              <w:adjustRightInd w:val="0"/>
              <w:snapToGrid w:val="0"/>
              <w:spacing w:before="0" w:beforeLines="0" w:afterLines="0" w:line="240" w:lineRule="auto"/>
              <w:ind w:left="0"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渔港港界应与港章中的渔港水陆域范围边界一致。</w:t>
            </w:r>
          </w:p>
        </w:tc>
      </w:tr>
      <w:tr w14:paraId="693C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64DE79F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27FC4A3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120" w:type="dxa"/>
            <w:noWrap w:val="0"/>
            <w:vAlign w:val="center"/>
          </w:tcPr>
          <w:p w14:paraId="20D7D6F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界限标识</w:t>
            </w:r>
          </w:p>
        </w:tc>
        <w:tc>
          <w:tcPr>
            <w:tcW w:w="6650" w:type="dxa"/>
            <w:gridSpan w:val="5"/>
            <w:tcBorders>
              <w:right w:val="nil"/>
            </w:tcBorders>
            <w:noWrap w:val="0"/>
            <w:vAlign w:val="center"/>
          </w:tcPr>
          <w:p w14:paraId="0B479B0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渔港陆域应设置标识牌或界碑，水域应设置标示浮标或电子围栏。</w:t>
            </w:r>
          </w:p>
        </w:tc>
      </w:tr>
      <w:tr w14:paraId="5541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tcBorders>
            <w:noWrap w:val="0"/>
            <w:vAlign w:val="center"/>
          </w:tcPr>
          <w:p w14:paraId="509086A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3710970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120" w:type="dxa"/>
            <w:noWrap w:val="0"/>
            <w:vAlign w:val="center"/>
          </w:tcPr>
          <w:p w14:paraId="713306E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权属清单</w:t>
            </w:r>
          </w:p>
        </w:tc>
        <w:tc>
          <w:tcPr>
            <w:tcW w:w="6650" w:type="dxa"/>
            <w:gridSpan w:val="5"/>
            <w:tcBorders>
              <w:right w:val="nil"/>
            </w:tcBorders>
            <w:noWrap w:val="0"/>
            <w:vAlign w:val="center"/>
          </w:tcPr>
          <w:p w14:paraId="7DA4510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具有能清晰、完整反映港界内渔港权属关系的清单。</w:t>
            </w:r>
          </w:p>
        </w:tc>
      </w:tr>
      <w:tr w14:paraId="4070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restart"/>
            <w:tcBorders>
              <w:left w:val="nil"/>
              <w:bottom w:val="nil"/>
            </w:tcBorders>
            <w:noWrap w:val="0"/>
            <w:vAlign w:val="center"/>
          </w:tcPr>
          <w:p w14:paraId="6EDAB11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position w:val="0"/>
                <w:sz w:val="20"/>
                <w:szCs w:val="20"/>
              </w:rPr>
              <w:t>规模</w:t>
            </w:r>
          </w:p>
          <w:p w14:paraId="5E41F149">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指标</w:t>
            </w:r>
          </w:p>
        </w:tc>
        <w:tc>
          <w:tcPr>
            <w:tcW w:w="420" w:type="dxa"/>
            <w:noWrap w:val="0"/>
            <w:vAlign w:val="center"/>
          </w:tcPr>
          <w:p w14:paraId="2635B72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120" w:type="dxa"/>
            <w:noWrap w:val="0"/>
            <w:vAlign w:val="center"/>
          </w:tcPr>
          <w:p w14:paraId="62224A8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码头长度</w:t>
            </w:r>
          </w:p>
        </w:tc>
        <w:tc>
          <w:tcPr>
            <w:tcW w:w="1330" w:type="dxa"/>
            <w:noWrap w:val="0"/>
            <w:vAlign w:val="center"/>
          </w:tcPr>
          <w:p w14:paraId="0B7C468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≥600m</w:t>
            </w:r>
          </w:p>
        </w:tc>
        <w:tc>
          <w:tcPr>
            <w:tcW w:w="1380" w:type="dxa"/>
            <w:noWrap w:val="0"/>
            <w:vAlign w:val="center"/>
          </w:tcPr>
          <w:p w14:paraId="13DEA51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≥400m</w:t>
            </w:r>
          </w:p>
        </w:tc>
        <w:tc>
          <w:tcPr>
            <w:tcW w:w="1110" w:type="dxa"/>
            <w:noWrap w:val="0"/>
            <w:vAlign w:val="center"/>
          </w:tcPr>
          <w:p w14:paraId="083B59D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≥150m</w:t>
            </w:r>
          </w:p>
        </w:tc>
        <w:tc>
          <w:tcPr>
            <w:tcW w:w="965" w:type="dxa"/>
            <w:noWrap w:val="0"/>
            <w:vAlign w:val="center"/>
          </w:tcPr>
          <w:p w14:paraId="2E10B02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≥30m</w:t>
            </w:r>
          </w:p>
        </w:tc>
        <w:tc>
          <w:tcPr>
            <w:tcW w:w="1865" w:type="dxa"/>
            <w:tcBorders>
              <w:right w:val="nil"/>
            </w:tcBorders>
            <w:noWrap w:val="0"/>
            <w:vAlign w:val="center"/>
          </w:tcPr>
          <w:p w14:paraId="315757F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spacing w:val="0"/>
                <w:kern w:val="0"/>
                <w:sz w:val="20"/>
                <w:szCs w:val="20"/>
                <w:lang w:eastAsia="zh-CN"/>
              </w:rPr>
              <w:t>有系泊设施</w:t>
            </w:r>
          </w:p>
        </w:tc>
      </w:tr>
      <w:tr w14:paraId="6A4A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01E7898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0194476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120" w:type="dxa"/>
            <w:noWrap w:val="0"/>
            <w:vAlign w:val="center"/>
          </w:tcPr>
          <w:p w14:paraId="72D43F0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水域面积</w:t>
            </w:r>
          </w:p>
        </w:tc>
        <w:tc>
          <w:tcPr>
            <w:tcW w:w="1330" w:type="dxa"/>
            <w:noWrap w:val="0"/>
            <w:vAlign w:val="center"/>
          </w:tcPr>
          <w:p w14:paraId="4A14E2A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≥40万m²</w:t>
            </w:r>
          </w:p>
        </w:tc>
        <w:tc>
          <w:tcPr>
            <w:tcW w:w="1380" w:type="dxa"/>
            <w:noWrap w:val="0"/>
            <w:vAlign w:val="center"/>
          </w:tcPr>
          <w:p w14:paraId="55B3449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≥30万m²</w:t>
            </w:r>
          </w:p>
        </w:tc>
        <w:tc>
          <w:tcPr>
            <w:tcW w:w="1110" w:type="dxa"/>
            <w:tcBorders>
              <w:right w:val="nil"/>
            </w:tcBorders>
            <w:noWrap w:val="0"/>
            <w:vAlign w:val="center"/>
          </w:tcPr>
          <w:p w14:paraId="113013EF">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≥5万m²</w:t>
            </w:r>
          </w:p>
        </w:tc>
        <w:tc>
          <w:tcPr>
            <w:tcW w:w="965" w:type="dxa"/>
            <w:tcBorders>
              <w:right w:val="nil"/>
            </w:tcBorders>
            <w:noWrap w:val="0"/>
            <w:vAlign w:val="center"/>
          </w:tcPr>
          <w:p w14:paraId="46075CD1">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spacing w:val="0"/>
                <w:kern w:val="0"/>
                <w:sz w:val="20"/>
                <w:szCs w:val="20"/>
                <w:highlight w:val="none"/>
              </w:rPr>
              <w:t>≥</w:t>
            </w:r>
            <w:r>
              <w:rPr>
                <w:rFonts w:hint="eastAsia" w:ascii="仿宋_GB2312" w:hAnsi="仿宋_GB2312" w:eastAsia="仿宋_GB2312" w:cs="仿宋_GB2312"/>
                <w:color w:val="auto"/>
                <w:spacing w:val="0"/>
                <w:kern w:val="0"/>
                <w:sz w:val="20"/>
                <w:szCs w:val="20"/>
                <w:highlight w:val="none"/>
                <w:lang w:val="en-US" w:eastAsia="zh-CN"/>
              </w:rPr>
              <w:t>1</w:t>
            </w:r>
            <w:r>
              <w:rPr>
                <w:rFonts w:hint="eastAsia" w:ascii="仿宋_GB2312" w:hAnsi="仿宋_GB2312" w:eastAsia="仿宋_GB2312" w:cs="仿宋_GB2312"/>
                <w:color w:val="auto"/>
                <w:spacing w:val="0"/>
                <w:kern w:val="0"/>
                <w:sz w:val="20"/>
                <w:szCs w:val="20"/>
                <w:highlight w:val="none"/>
              </w:rPr>
              <w:t>万m²</w:t>
            </w:r>
          </w:p>
        </w:tc>
        <w:tc>
          <w:tcPr>
            <w:tcW w:w="1865" w:type="dxa"/>
            <w:tcBorders>
              <w:right w:val="nil"/>
            </w:tcBorders>
            <w:noWrap w:val="0"/>
            <w:vAlign w:val="center"/>
          </w:tcPr>
          <w:p w14:paraId="01C889C0">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有一定面积</w:t>
            </w:r>
          </w:p>
        </w:tc>
      </w:tr>
      <w:tr w14:paraId="55B4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tcBorders>
            <w:noWrap w:val="0"/>
            <w:vAlign w:val="center"/>
          </w:tcPr>
          <w:p w14:paraId="28B9D27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1F86681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6</w:t>
            </w:r>
          </w:p>
        </w:tc>
        <w:tc>
          <w:tcPr>
            <w:tcW w:w="2120" w:type="dxa"/>
            <w:noWrap w:val="0"/>
            <w:vAlign w:val="center"/>
          </w:tcPr>
          <w:p w14:paraId="3B7A415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陆域面积</w:t>
            </w:r>
          </w:p>
        </w:tc>
        <w:tc>
          <w:tcPr>
            <w:tcW w:w="1330" w:type="dxa"/>
            <w:noWrap w:val="0"/>
            <w:vAlign w:val="center"/>
          </w:tcPr>
          <w:p w14:paraId="00E560A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≥20万m²</w:t>
            </w:r>
          </w:p>
        </w:tc>
        <w:tc>
          <w:tcPr>
            <w:tcW w:w="1380" w:type="dxa"/>
            <w:noWrap w:val="0"/>
            <w:vAlign w:val="center"/>
          </w:tcPr>
          <w:p w14:paraId="5D04CDF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≥10万m²</w:t>
            </w:r>
          </w:p>
        </w:tc>
        <w:tc>
          <w:tcPr>
            <w:tcW w:w="1110" w:type="dxa"/>
            <w:tcBorders>
              <w:right w:val="nil"/>
            </w:tcBorders>
            <w:noWrap w:val="0"/>
            <w:vAlign w:val="center"/>
          </w:tcPr>
          <w:p w14:paraId="58E646A8">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≥2万</w:t>
            </w:r>
            <w:r>
              <w:rPr>
                <w:rFonts w:hint="eastAsia" w:ascii="仿宋_GB2312" w:hAnsi="仿宋_GB2312" w:eastAsia="仿宋_GB2312" w:cs="仿宋_GB2312"/>
                <w:color w:val="auto"/>
                <w:spacing w:val="0"/>
                <w:kern w:val="0"/>
                <w:sz w:val="20"/>
                <w:szCs w:val="20"/>
              </w:rPr>
              <w:t>m²</w:t>
            </w:r>
          </w:p>
        </w:tc>
        <w:tc>
          <w:tcPr>
            <w:tcW w:w="965" w:type="dxa"/>
            <w:tcBorders>
              <w:right w:val="nil"/>
            </w:tcBorders>
            <w:noWrap w:val="0"/>
            <w:vAlign w:val="center"/>
          </w:tcPr>
          <w:p w14:paraId="099D4875">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color w:val="auto"/>
                <w:kern w:val="0"/>
                <w:sz w:val="20"/>
                <w:szCs w:val="20"/>
                <w:highlight w:val="none"/>
              </w:rPr>
              <w:t>≥</w:t>
            </w:r>
            <w:r>
              <w:rPr>
                <w:rFonts w:hint="eastAsia" w:ascii="仿宋_GB2312" w:hAnsi="仿宋_GB2312" w:eastAsia="仿宋_GB2312" w:cs="仿宋_GB2312"/>
                <w:color w:val="auto"/>
                <w:kern w:val="0"/>
                <w:sz w:val="20"/>
                <w:szCs w:val="20"/>
                <w:highlight w:val="none"/>
                <w:lang w:val="en-US" w:eastAsia="zh-CN"/>
              </w:rPr>
              <w:t>1000</w:t>
            </w:r>
            <w:r>
              <w:rPr>
                <w:rFonts w:hint="eastAsia" w:ascii="仿宋_GB2312" w:hAnsi="仿宋_GB2312" w:eastAsia="仿宋_GB2312" w:cs="仿宋_GB2312"/>
                <w:color w:val="auto"/>
                <w:kern w:val="0"/>
                <w:sz w:val="20"/>
                <w:szCs w:val="20"/>
                <w:highlight w:val="none"/>
              </w:rPr>
              <w:t>m²</w:t>
            </w:r>
          </w:p>
        </w:tc>
        <w:tc>
          <w:tcPr>
            <w:tcW w:w="1865" w:type="dxa"/>
            <w:tcBorders>
              <w:right w:val="nil"/>
            </w:tcBorders>
            <w:noWrap w:val="0"/>
            <w:vAlign w:val="center"/>
          </w:tcPr>
          <w:p w14:paraId="3C7132CC">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highlight w:val="none"/>
                <w:lang w:eastAsia="zh-CN"/>
              </w:rPr>
            </w:pPr>
            <w:r>
              <w:rPr>
                <w:rFonts w:hint="eastAsia" w:ascii="仿宋_GB2312" w:hAnsi="仿宋_GB2312" w:eastAsia="仿宋_GB2312" w:cs="仿宋_GB2312"/>
                <w:color w:val="auto"/>
                <w:kern w:val="0"/>
                <w:sz w:val="20"/>
                <w:szCs w:val="20"/>
                <w:highlight w:val="none"/>
              </w:rPr>
              <w:t>有一定面积</w:t>
            </w:r>
          </w:p>
        </w:tc>
      </w:tr>
      <w:tr w14:paraId="01F3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restart"/>
            <w:tcBorders>
              <w:left w:val="nil"/>
              <w:bottom w:val="nil"/>
            </w:tcBorders>
            <w:noWrap w:val="0"/>
            <w:vAlign w:val="center"/>
          </w:tcPr>
          <w:p w14:paraId="20644623">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服务</w:t>
            </w:r>
          </w:p>
          <w:p w14:paraId="1494478F">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能</w:t>
            </w:r>
            <w:r>
              <w:rPr>
                <w:rFonts w:hint="eastAsia" w:ascii="仿宋_GB2312" w:hAnsi="仿宋_GB2312" w:eastAsia="仿宋_GB2312" w:cs="仿宋_GB2312"/>
                <w:color w:val="auto"/>
                <w:kern w:val="0"/>
                <w:sz w:val="20"/>
                <w:szCs w:val="20"/>
              </w:rPr>
              <w:t>力</w:t>
            </w:r>
          </w:p>
          <w:p w14:paraId="3035CB02">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指标</w:t>
            </w:r>
          </w:p>
        </w:tc>
        <w:tc>
          <w:tcPr>
            <w:tcW w:w="420" w:type="dxa"/>
            <w:noWrap w:val="0"/>
            <w:vAlign w:val="center"/>
          </w:tcPr>
          <w:p w14:paraId="012C693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7</w:t>
            </w:r>
          </w:p>
        </w:tc>
        <w:tc>
          <w:tcPr>
            <w:tcW w:w="2120" w:type="dxa"/>
            <w:noWrap w:val="0"/>
            <w:vAlign w:val="center"/>
          </w:tcPr>
          <w:p w14:paraId="47FE572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可靠泊渔船能力</w:t>
            </w:r>
          </w:p>
        </w:tc>
        <w:tc>
          <w:tcPr>
            <w:tcW w:w="2710" w:type="dxa"/>
            <w:gridSpan w:val="2"/>
            <w:noWrap w:val="0"/>
            <w:vAlign w:val="center"/>
          </w:tcPr>
          <w:p w14:paraId="5A3E911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大型</w:t>
            </w:r>
          </w:p>
        </w:tc>
        <w:tc>
          <w:tcPr>
            <w:tcW w:w="2075" w:type="dxa"/>
            <w:gridSpan w:val="2"/>
            <w:noWrap w:val="0"/>
            <w:vAlign w:val="center"/>
          </w:tcPr>
          <w:p w14:paraId="385072B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中型</w:t>
            </w:r>
          </w:p>
        </w:tc>
        <w:tc>
          <w:tcPr>
            <w:tcW w:w="1865" w:type="dxa"/>
            <w:tcBorders>
              <w:right w:val="nil"/>
            </w:tcBorders>
            <w:noWrap w:val="0"/>
            <w:vAlign w:val="center"/>
          </w:tcPr>
          <w:p w14:paraId="67C4ACC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spacing w:val="0"/>
                <w:kern w:val="0"/>
                <w:sz w:val="20"/>
                <w:szCs w:val="20"/>
              </w:rPr>
              <w:t>小型</w:t>
            </w:r>
          </w:p>
        </w:tc>
      </w:tr>
      <w:tr w14:paraId="60F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3C83BE8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3C29875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8</w:t>
            </w:r>
          </w:p>
        </w:tc>
        <w:tc>
          <w:tcPr>
            <w:tcW w:w="2120" w:type="dxa"/>
            <w:noWrap w:val="0"/>
            <w:vAlign w:val="center"/>
          </w:tcPr>
          <w:p w14:paraId="194F897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可容纳锚泊渔船数量</w:t>
            </w:r>
          </w:p>
        </w:tc>
        <w:tc>
          <w:tcPr>
            <w:tcW w:w="1330" w:type="dxa"/>
            <w:noWrap w:val="0"/>
            <w:vAlign w:val="center"/>
          </w:tcPr>
          <w:p w14:paraId="55CA8A8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≥800艘</w:t>
            </w:r>
          </w:p>
        </w:tc>
        <w:tc>
          <w:tcPr>
            <w:tcW w:w="1380" w:type="dxa"/>
            <w:noWrap w:val="0"/>
            <w:vAlign w:val="center"/>
          </w:tcPr>
          <w:p w14:paraId="43302FB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≥600艘</w:t>
            </w:r>
          </w:p>
        </w:tc>
        <w:tc>
          <w:tcPr>
            <w:tcW w:w="1110" w:type="dxa"/>
            <w:noWrap w:val="0"/>
            <w:vAlign w:val="center"/>
          </w:tcPr>
          <w:p w14:paraId="4E6A6D8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≥200艘</w:t>
            </w:r>
          </w:p>
        </w:tc>
        <w:tc>
          <w:tcPr>
            <w:tcW w:w="965" w:type="dxa"/>
            <w:noWrap w:val="0"/>
            <w:vAlign w:val="center"/>
          </w:tcPr>
          <w:p w14:paraId="7AE9566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≥50艘</w:t>
            </w:r>
          </w:p>
        </w:tc>
        <w:tc>
          <w:tcPr>
            <w:tcW w:w="1865" w:type="dxa"/>
            <w:tcBorders>
              <w:right w:val="nil"/>
            </w:tcBorders>
            <w:noWrap w:val="0"/>
            <w:vAlign w:val="center"/>
          </w:tcPr>
          <w:p w14:paraId="61C83D9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spacing w:val="0"/>
                <w:kern w:val="0"/>
                <w:sz w:val="20"/>
                <w:szCs w:val="20"/>
                <w:lang w:eastAsia="zh-CN"/>
              </w:rPr>
              <w:t>不作要求</w:t>
            </w:r>
          </w:p>
        </w:tc>
      </w:tr>
      <w:tr w14:paraId="38C5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tcBorders>
            <w:noWrap w:val="0"/>
            <w:vAlign w:val="center"/>
          </w:tcPr>
          <w:p w14:paraId="45D5691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2C55106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9</w:t>
            </w:r>
          </w:p>
        </w:tc>
        <w:tc>
          <w:tcPr>
            <w:tcW w:w="2120" w:type="dxa"/>
            <w:noWrap w:val="0"/>
            <w:vAlign w:val="center"/>
          </w:tcPr>
          <w:p w14:paraId="0661306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渔获物年卸港量</w:t>
            </w:r>
          </w:p>
        </w:tc>
        <w:tc>
          <w:tcPr>
            <w:tcW w:w="1330" w:type="dxa"/>
            <w:noWrap w:val="0"/>
            <w:vAlign w:val="center"/>
          </w:tcPr>
          <w:p w14:paraId="1468652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≥8万吨</w:t>
            </w:r>
          </w:p>
        </w:tc>
        <w:tc>
          <w:tcPr>
            <w:tcW w:w="1380" w:type="dxa"/>
            <w:noWrap w:val="0"/>
            <w:vAlign w:val="center"/>
          </w:tcPr>
          <w:p w14:paraId="2FCC393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≥4万吨</w:t>
            </w:r>
          </w:p>
        </w:tc>
        <w:tc>
          <w:tcPr>
            <w:tcW w:w="1110" w:type="dxa"/>
            <w:tcBorders>
              <w:right w:val="nil"/>
            </w:tcBorders>
            <w:noWrap w:val="0"/>
            <w:vAlign w:val="center"/>
          </w:tcPr>
          <w:p w14:paraId="078A19C3">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w:t>
            </w:r>
            <w:r>
              <w:rPr>
                <w:rFonts w:hint="eastAsia" w:ascii="仿宋_GB2312" w:hAnsi="仿宋_GB2312" w:eastAsia="仿宋_GB2312" w:cs="仿宋_GB2312"/>
                <w:color w:val="auto"/>
                <w:spacing w:val="0"/>
                <w:kern w:val="0"/>
                <w:sz w:val="20"/>
                <w:szCs w:val="20"/>
                <w:lang w:val="en-US" w:eastAsia="zh-CN"/>
              </w:rPr>
              <w:t>3</w:t>
            </w:r>
            <w:r>
              <w:rPr>
                <w:rFonts w:hint="eastAsia" w:ascii="仿宋_GB2312" w:hAnsi="仿宋_GB2312" w:eastAsia="仿宋_GB2312" w:cs="仿宋_GB2312"/>
                <w:color w:val="auto"/>
                <w:spacing w:val="0"/>
                <w:kern w:val="0"/>
                <w:sz w:val="20"/>
                <w:szCs w:val="20"/>
              </w:rPr>
              <w:t>000吨</w:t>
            </w:r>
          </w:p>
        </w:tc>
        <w:tc>
          <w:tcPr>
            <w:tcW w:w="2830" w:type="dxa"/>
            <w:gridSpan w:val="2"/>
            <w:tcBorders>
              <w:right w:val="nil"/>
            </w:tcBorders>
            <w:noWrap w:val="0"/>
            <w:vAlign w:val="center"/>
          </w:tcPr>
          <w:p w14:paraId="4A9F0EE7">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不作要求</w:t>
            </w:r>
          </w:p>
        </w:tc>
      </w:tr>
      <w:tr w14:paraId="3962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restart"/>
            <w:tcBorders>
              <w:left w:val="nil"/>
              <w:bottom w:val="nil"/>
            </w:tcBorders>
            <w:noWrap w:val="0"/>
            <w:vAlign w:val="center"/>
          </w:tcPr>
          <w:p w14:paraId="78CB921C">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监管</w:t>
            </w:r>
          </w:p>
          <w:p w14:paraId="46E94D85">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能力</w:t>
            </w:r>
          </w:p>
          <w:p w14:paraId="623B76B5">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指标</w:t>
            </w:r>
          </w:p>
        </w:tc>
        <w:tc>
          <w:tcPr>
            <w:tcW w:w="420" w:type="dxa"/>
            <w:noWrap w:val="0"/>
            <w:vAlign w:val="center"/>
          </w:tcPr>
          <w:p w14:paraId="52546B6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10</w:t>
            </w:r>
          </w:p>
        </w:tc>
        <w:tc>
          <w:tcPr>
            <w:tcW w:w="2120" w:type="dxa"/>
            <w:noWrap w:val="0"/>
            <w:vAlign w:val="center"/>
          </w:tcPr>
          <w:p w14:paraId="202B35B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渔港监督管理机构</w:t>
            </w:r>
          </w:p>
        </w:tc>
        <w:tc>
          <w:tcPr>
            <w:tcW w:w="2710" w:type="dxa"/>
            <w:gridSpan w:val="2"/>
            <w:noWrap w:val="0"/>
            <w:vAlign w:val="center"/>
          </w:tcPr>
          <w:p w14:paraId="7F0A41E9">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渔港监督管理机构明确，且驻港</w:t>
            </w:r>
          </w:p>
        </w:tc>
        <w:tc>
          <w:tcPr>
            <w:tcW w:w="3940" w:type="dxa"/>
            <w:gridSpan w:val="3"/>
            <w:tcBorders>
              <w:right w:val="nil"/>
            </w:tcBorders>
            <w:noWrap w:val="0"/>
            <w:vAlign w:val="center"/>
          </w:tcPr>
          <w:p w14:paraId="058D4CA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渔港监督管理机构明确</w:t>
            </w:r>
          </w:p>
        </w:tc>
      </w:tr>
      <w:tr w14:paraId="37F1C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5C2A754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0151AB1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11</w:t>
            </w:r>
          </w:p>
        </w:tc>
        <w:tc>
          <w:tcPr>
            <w:tcW w:w="2120" w:type="dxa"/>
            <w:noWrap w:val="0"/>
            <w:vAlign w:val="center"/>
          </w:tcPr>
          <w:p w14:paraId="3CF21D4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港务管理机构</w:t>
            </w:r>
          </w:p>
        </w:tc>
        <w:tc>
          <w:tcPr>
            <w:tcW w:w="3820" w:type="dxa"/>
            <w:gridSpan w:val="3"/>
            <w:noWrap w:val="0"/>
            <w:vAlign w:val="center"/>
          </w:tcPr>
          <w:p w14:paraId="09539A1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港务管理机构明确，物业管理驻港</w:t>
            </w:r>
          </w:p>
        </w:tc>
        <w:tc>
          <w:tcPr>
            <w:tcW w:w="2830" w:type="dxa"/>
            <w:gridSpan w:val="2"/>
            <w:tcBorders>
              <w:right w:val="nil"/>
            </w:tcBorders>
            <w:noWrap w:val="0"/>
            <w:vAlign w:val="center"/>
          </w:tcPr>
          <w:p w14:paraId="2FD1A98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机构明确</w:t>
            </w:r>
          </w:p>
        </w:tc>
      </w:tr>
      <w:tr w14:paraId="729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5BFDC6E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6EEEEF3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12</w:t>
            </w:r>
          </w:p>
        </w:tc>
        <w:tc>
          <w:tcPr>
            <w:tcW w:w="2120" w:type="dxa"/>
            <w:noWrap w:val="0"/>
            <w:vAlign w:val="center"/>
          </w:tcPr>
          <w:p w14:paraId="1CF00CA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19"/>
                <w:szCs w:val="19"/>
              </w:rPr>
            </w:pPr>
            <w:r>
              <w:rPr>
                <w:rFonts w:hint="eastAsia" w:ascii="仿宋_GB2312" w:hAnsi="仿宋_GB2312" w:eastAsia="仿宋_GB2312" w:cs="仿宋_GB2312"/>
                <w:color w:val="auto"/>
                <w:spacing w:val="0"/>
                <w:kern w:val="0"/>
                <w:sz w:val="19"/>
                <w:szCs w:val="19"/>
              </w:rPr>
              <w:t>渔港综合管理服务中心</w:t>
            </w:r>
          </w:p>
        </w:tc>
        <w:tc>
          <w:tcPr>
            <w:tcW w:w="1330" w:type="dxa"/>
            <w:noWrap w:val="0"/>
            <w:vAlign w:val="center"/>
          </w:tcPr>
          <w:p w14:paraId="576BFD9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≥1000m²</w:t>
            </w:r>
          </w:p>
        </w:tc>
        <w:tc>
          <w:tcPr>
            <w:tcW w:w="1380" w:type="dxa"/>
            <w:noWrap w:val="0"/>
            <w:vAlign w:val="center"/>
          </w:tcPr>
          <w:p w14:paraId="0AAB486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≥800m²</w:t>
            </w:r>
          </w:p>
        </w:tc>
        <w:tc>
          <w:tcPr>
            <w:tcW w:w="3940" w:type="dxa"/>
            <w:gridSpan w:val="3"/>
            <w:tcBorders>
              <w:right w:val="nil"/>
            </w:tcBorders>
            <w:noWrap w:val="0"/>
            <w:vAlign w:val="center"/>
          </w:tcPr>
          <w:p w14:paraId="3B5F38BF">
            <w:pPr>
              <w:adjustRightInd w:val="0"/>
              <w:snapToGrid w:val="0"/>
              <w:spacing w:before="0" w:beforeLines="0" w:afterLines="0" w:line="240" w:lineRule="auto"/>
              <w:ind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有一定面积</w:t>
            </w:r>
          </w:p>
        </w:tc>
      </w:tr>
      <w:tr w14:paraId="2871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46FF571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1AE8DE9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13</w:t>
            </w:r>
          </w:p>
        </w:tc>
        <w:tc>
          <w:tcPr>
            <w:tcW w:w="2120" w:type="dxa"/>
            <w:noWrap w:val="0"/>
            <w:vAlign w:val="center"/>
          </w:tcPr>
          <w:p w14:paraId="01909FB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渔船动态监控管理</w:t>
            </w:r>
          </w:p>
        </w:tc>
        <w:tc>
          <w:tcPr>
            <w:tcW w:w="6650" w:type="dxa"/>
            <w:gridSpan w:val="5"/>
            <w:tcBorders>
              <w:right w:val="nil"/>
            </w:tcBorders>
            <w:noWrap w:val="0"/>
            <w:vAlign w:val="center"/>
          </w:tcPr>
          <w:p w14:paraId="582B73C5">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大中型渔船进出港报告系统填报率100%</w:t>
            </w:r>
          </w:p>
        </w:tc>
      </w:tr>
      <w:tr w14:paraId="2D6B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75BB278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5AED568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14</w:t>
            </w:r>
          </w:p>
        </w:tc>
        <w:tc>
          <w:tcPr>
            <w:tcW w:w="2120" w:type="dxa"/>
            <w:noWrap w:val="0"/>
            <w:vAlign w:val="center"/>
          </w:tcPr>
          <w:p w14:paraId="331D2FD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渔港视频监控</w:t>
            </w:r>
          </w:p>
        </w:tc>
        <w:tc>
          <w:tcPr>
            <w:tcW w:w="3820" w:type="dxa"/>
            <w:gridSpan w:val="3"/>
            <w:noWrap w:val="0"/>
            <w:vAlign w:val="center"/>
          </w:tcPr>
          <w:p w14:paraId="0D8EAD02">
            <w:pPr>
              <w:adjustRightInd w:val="0"/>
              <w:snapToGrid w:val="0"/>
              <w:spacing w:before="0" w:beforeLines="0" w:afterLines="0" w:line="240" w:lineRule="auto"/>
              <w:ind w:left="0"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码头作业区和渔港水域全覆盖</w:t>
            </w:r>
          </w:p>
        </w:tc>
        <w:tc>
          <w:tcPr>
            <w:tcW w:w="2830" w:type="dxa"/>
            <w:gridSpan w:val="2"/>
            <w:tcBorders>
              <w:right w:val="nil"/>
            </w:tcBorders>
            <w:noWrap w:val="0"/>
            <w:vAlign w:val="center"/>
          </w:tcPr>
          <w:p w14:paraId="4E21710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水域全覆盖</w:t>
            </w:r>
          </w:p>
        </w:tc>
      </w:tr>
      <w:tr w14:paraId="5008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bottom w:val="nil"/>
            </w:tcBorders>
            <w:noWrap w:val="0"/>
            <w:vAlign w:val="center"/>
          </w:tcPr>
          <w:p w14:paraId="56C58A2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0496F15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15</w:t>
            </w:r>
          </w:p>
        </w:tc>
        <w:tc>
          <w:tcPr>
            <w:tcW w:w="2120" w:type="dxa"/>
            <w:noWrap w:val="0"/>
            <w:vAlign w:val="center"/>
          </w:tcPr>
          <w:p w14:paraId="3DF791B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污染防治设施</w:t>
            </w:r>
          </w:p>
        </w:tc>
        <w:tc>
          <w:tcPr>
            <w:tcW w:w="3820" w:type="dxa"/>
            <w:gridSpan w:val="3"/>
            <w:noWrap w:val="0"/>
            <w:vAlign w:val="center"/>
          </w:tcPr>
          <w:p w14:paraId="49239AA5">
            <w:pPr>
              <w:adjustRightInd w:val="0"/>
              <w:snapToGrid w:val="0"/>
              <w:spacing w:before="0" w:beforeLines="0" w:afterLines="0" w:line="240" w:lineRule="auto"/>
              <w:ind w:left="0" w:right="0"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满足《沿海渔港污染防治设施设备配备总</w:t>
            </w:r>
            <w:r>
              <w:rPr>
                <w:rFonts w:hint="eastAsia" w:ascii="仿宋_GB2312" w:hAnsi="仿宋_GB2312" w:eastAsia="仿宋_GB2312" w:cs="仿宋_GB2312"/>
                <w:color w:val="auto"/>
                <w:spacing w:val="0"/>
                <w:kern w:val="0"/>
                <w:sz w:val="20"/>
                <w:szCs w:val="20"/>
              </w:rPr>
              <w:t xml:space="preserve"> </w:t>
            </w:r>
            <w:r>
              <w:rPr>
                <w:rFonts w:hint="eastAsia" w:ascii="仿宋_GB2312" w:hAnsi="仿宋_GB2312" w:eastAsia="仿宋_GB2312" w:cs="仿宋_GB2312"/>
                <w:color w:val="auto"/>
                <w:kern w:val="0"/>
                <w:sz w:val="20"/>
                <w:szCs w:val="20"/>
              </w:rPr>
              <w:t>体要求》中“4一般要求”的规定</w:t>
            </w:r>
          </w:p>
        </w:tc>
        <w:tc>
          <w:tcPr>
            <w:tcW w:w="2830" w:type="dxa"/>
            <w:gridSpan w:val="2"/>
            <w:tcBorders>
              <w:right w:val="nil"/>
            </w:tcBorders>
            <w:noWrap w:val="0"/>
            <w:vAlign w:val="center"/>
          </w:tcPr>
          <w:p w14:paraId="6702839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w:t>
            </w:r>
          </w:p>
        </w:tc>
      </w:tr>
      <w:tr w14:paraId="1D82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49" w:type="dxa"/>
            <w:vMerge w:val="continue"/>
            <w:tcBorders>
              <w:top w:val="nil"/>
              <w:left w:val="nil"/>
            </w:tcBorders>
            <w:noWrap w:val="0"/>
            <w:vAlign w:val="center"/>
          </w:tcPr>
          <w:p w14:paraId="77CCE7E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rPr>
            </w:pPr>
          </w:p>
        </w:tc>
        <w:tc>
          <w:tcPr>
            <w:tcW w:w="420" w:type="dxa"/>
            <w:noWrap w:val="0"/>
            <w:vAlign w:val="center"/>
          </w:tcPr>
          <w:p w14:paraId="2D34406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16</w:t>
            </w:r>
          </w:p>
        </w:tc>
        <w:tc>
          <w:tcPr>
            <w:tcW w:w="2120" w:type="dxa"/>
            <w:noWrap w:val="0"/>
            <w:vAlign w:val="center"/>
          </w:tcPr>
          <w:p w14:paraId="2A56483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pacing w:val="0"/>
                <w:kern w:val="0"/>
                <w:sz w:val="20"/>
                <w:szCs w:val="20"/>
              </w:rPr>
              <w:t>应急管理设施</w:t>
            </w:r>
          </w:p>
        </w:tc>
        <w:tc>
          <w:tcPr>
            <w:tcW w:w="3820" w:type="dxa"/>
            <w:gridSpan w:val="3"/>
            <w:noWrap w:val="0"/>
            <w:vAlign w:val="center"/>
          </w:tcPr>
          <w:p w14:paraId="7F598FB6">
            <w:pPr>
              <w:adjustRightInd w:val="0"/>
              <w:snapToGrid w:val="0"/>
              <w:spacing w:before="0" w:beforeLines="0" w:afterLines="0" w:line="240" w:lineRule="auto"/>
              <w:ind w:left="0" w:right="0" w:firstLine="0" w:firstLineChars="0"/>
              <w:jc w:val="both"/>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港区消防、救助、应急供电设施满足应急</w:t>
            </w:r>
            <w:r>
              <w:rPr>
                <w:rFonts w:hint="eastAsia" w:ascii="仿宋_GB2312" w:hAnsi="仿宋_GB2312" w:eastAsia="仿宋_GB2312" w:cs="仿宋_GB2312"/>
                <w:color w:val="auto"/>
                <w:spacing w:val="0"/>
                <w:kern w:val="0"/>
                <w:sz w:val="20"/>
                <w:szCs w:val="20"/>
              </w:rPr>
              <w:t xml:space="preserve"> 需求</w:t>
            </w:r>
          </w:p>
        </w:tc>
        <w:tc>
          <w:tcPr>
            <w:tcW w:w="2830" w:type="dxa"/>
            <w:gridSpan w:val="2"/>
            <w:tcBorders>
              <w:right w:val="nil"/>
            </w:tcBorders>
            <w:noWrap w:val="0"/>
            <w:vAlign w:val="center"/>
          </w:tcPr>
          <w:p w14:paraId="23A87BD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有</w:t>
            </w:r>
          </w:p>
        </w:tc>
      </w:tr>
    </w:tbl>
    <w:p w14:paraId="0506FD5C">
      <w:pPr>
        <w:adjustRightInd w:val="0"/>
        <w:snapToGrid w:val="0"/>
        <w:spacing w:before="0" w:beforeLines="0" w:afterLines="0" w:line="590" w:lineRule="exact"/>
        <w:ind w:firstLine="0" w:firstLineChars="0"/>
        <w:rPr>
          <w:rFonts w:hint="eastAsia" w:ascii="黑体" w:hAnsi="黑体" w:eastAsia="黑体" w:cs="黑体"/>
          <w:snapToGrid w:val="0"/>
          <w:color w:val="auto"/>
          <w:kern w:val="0"/>
          <w:sz w:val="32"/>
          <w:szCs w:val="32"/>
        </w:rPr>
      </w:pPr>
      <w:r>
        <w:rPr>
          <w:rFonts w:hint="eastAsia" w:ascii="仿宋_GB2312" w:hAnsi="仿宋_GB2312" w:eastAsia="仿宋_GB2312" w:cs="仿宋_GB2312"/>
          <w:color w:val="auto"/>
          <w:spacing w:val="0"/>
          <w:kern w:val="0"/>
          <w:sz w:val="32"/>
          <w:szCs w:val="32"/>
        </w:rPr>
        <w:br w:type="page"/>
      </w:r>
      <w:r>
        <w:rPr>
          <w:rFonts w:hint="eastAsia" w:ascii="黑体" w:hAnsi="黑体" w:eastAsia="黑体" w:cs="黑体"/>
          <w:snapToGrid w:val="0"/>
          <w:color w:val="auto"/>
          <w:spacing w:val="0"/>
          <w:kern w:val="0"/>
          <w:sz w:val="32"/>
          <w:szCs w:val="32"/>
        </w:rPr>
        <w:t>附录2</w:t>
      </w:r>
    </w:p>
    <w:p w14:paraId="47048ED3">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kern w:val="0"/>
          <w:szCs w:val="32"/>
        </w:rPr>
      </w:pPr>
    </w:p>
    <w:p w14:paraId="7030D9AF">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color w:val="auto"/>
          <w:spacing w:val="0"/>
          <w:kern w:val="0"/>
          <w:sz w:val="44"/>
          <w:szCs w:val="44"/>
        </w:rPr>
      </w:pPr>
      <w:r>
        <w:rPr>
          <w:rFonts w:hint="eastAsia" w:ascii="方正小标宋简体" w:hAnsi="方正小标宋简体" w:eastAsia="方正小标宋简体" w:cs="方正小标宋简体"/>
          <w:snapToGrid w:val="0"/>
          <w:color w:val="auto"/>
          <w:spacing w:val="0"/>
          <w:kern w:val="0"/>
          <w:sz w:val="44"/>
          <w:szCs w:val="44"/>
        </w:rPr>
        <w:t>广</w:t>
      </w:r>
      <w:r>
        <w:rPr>
          <w:rFonts w:hint="eastAsia" w:ascii="方正小标宋简体" w:hAnsi="方正小标宋简体" w:eastAsia="方正小标宋简体" w:cs="方正小标宋简体"/>
          <w:b w:val="0"/>
          <w:bCs w:val="0"/>
          <w:snapToGrid w:val="0"/>
          <w:color w:val="auto"/>
          <w:spacing w:val="0"/>
          <w:kern w:val="0"/>
          <w:sz w:val="44"/>
          <w:szCs w:val="44"/>
        </w:rPr>
        <w:t>东省沿海渔港等级认定标准</w:t>
      </w:r>
    </w:p>
    <w:p w14:paraId="3F65345D">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spacing w:val="0"/>
          <w:kern w:val="0"/>
          <w:sz w:val="44"/>
          <w:szCs w:val="44"/>
        </w:rPr>
        <w:t>相关指标的说明</w:t>
      </w:r>
    </w:p>
    <w:p w14:paraId="31B8C94F">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p>
    <w:p w14:paraId="0B213662">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基础指标</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b/>
          <w:bCs/>
          <w:snapToGrid w:val="0"/>
          <w:color w:val="auto"/>
          <w:kern w:val="0"/>
          <w:sz w:val="32"/>
          <w:szCs w:val="32"/>
        </w:rPr>
        <w:t>见3.2</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权属清晰是强化渔港管理的基础。通过明确渔港权属，从法理意义上对渔港予以确认。</w:t>
      </w:r>
    </w:p>
    <w:p w14:paraId="0971E469">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渔港港章、港界</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b/>
          <w:bCs/>
          <w:snapToGrid w:val="0"/>
          <w:color w:val="auto"/>
          <w:kern w:val="0"/>
          <w:sz w:val="32"/>
          <w:szCs w:val="32"/>
        </w:rPr>
        <w:t>见3.2.1</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各地应根据自身发展情况自行编制渔港港章。</w:t>
      </w:r>
    </w:p>
    <w:p w14:paraId="2D3E8D2D">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港界是渔港水域和陆域范围的界线，港界以内的水域和陆域属渔港的管理范围。港界的绘制应符合自然资源部门对界线与不动产测绘的要求。为保障港界科学、合理，应委托具有专业经验的咨询或设计机构划定。</w:t>
      </w:r>
    </w:p>
    <w:p w14:paraId="3A2D4E26">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渔港港章、港界应适应不同时期渔业产业的发展要求，定期更新，并由县级及以上人民政府发布。</w:t>
      </w:r>
    </w:p>
    <w:p w14:paraId="014481A5">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权属清单</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b/>
          <w:bCs/>
          <w:snapToGrid w:val="0"/>
          <w:color w:val="auto"/>
          <w:kern w:val="0"/>
          <w:sz w:val="32"/>
          <w:szCs w:val="32"/>
        </w:rPr>
        <w:t>见3.2.3</w:t>
      </w:r>
      <w:r>
        <w:rPr>
          <w:rFonts w:hint="eastAsia" w:ascii="仿宋_GB2312" w:hAnsi="仿宋_GB2312" w:eastAsia="仿宋_GB2312" w:cs="仿宋_GB2312"/>
          <w:b/>
          <w:bCs/>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根据《中华人民共和国渔业法》</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以下简称“渔业法”</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中华人民共和国港口法》（以下简称“港口法”）《中华人民共和国民法典》（以下简称“民法典”）等国家法律法规和规章制度的相关规定，渔港作为整体概念，其所有权归国家或集体所有。基于渔港管理现状，近期难以实现对渔港进行整体确权，本标准依据相关法律法规提出对渔港的陆域、水域和设施分别确权。</w:t>
      </w:r>
    </w:p>
    <w:p w14:paraId="7E3FFA06">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陆域、水域和设施的权属包括所有权、管理权和经营权。其中，根据民法典，渔港的所有权和使用权属于物权范畴；根据港口法和渔业法，渔港的管理权属于县级以上人民政府及其所属渔业行政主管部门的职权范围，包含行政管理权、监督管理权和执法管理权；根据《基础设施和公用事业特许经营管理办法》，渔港的经营权是县级以上人民政府渔业行政主管部门在渔港范围内设立和实施的特许经营权。</w:t>
      </w:r>
    </w:p>
    <w:p w14:paraId="5B86621D">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lang w:eastAsia="zh-CN"/>
        </w:rPr>
        <w:t>（</w:t>
      </w:r>
      <w:r>
        <w:rPr>
          <w:rFonts w:hint="eastAsia" w:ascii="楷体_GB2312" w:hAnsi="楷体_GB2312" w:eastAsia="楷体_GB2312" w:cs="楷体_GB2312"/>
          <w:b w:val="0"/>
          <w:bCs w:val="0"/>
          <w:snapToGrid w:val="0"/>
          <w:color w:val="auto"/>
          <w:kern w:val="0"/>
          <w:sz w:val="32"/>
          <w:szCs w:val="32"/>
        </w:rPr>
        <w:t>一</w:t>
      </w:r>
      <w:r>
        <w:rPr>
          <w:rFonts w:hint="eastAsia" w:ascii="楷体_GB2312" w:hAnsi="楷体_GB2312" w:eastAsia="楷体_GB2312" w:cs="楷体_GB2312"/>
          <w:b w:val="0"/>
          <w:bCs w:val="0"/>
          <w:snapToGrid w:val="0"/>
          <w:color w:val="auto"/>
          <w:kern w:val="0"/>
          <w:sz w:val="32"/>
          <w:szCs w:val="32"/>
          <w:lang w:eastAsia="zh-CN"/>
        </w:rPr>
        <w:t>）</w:t>
      </w:r>
      <w:r>
        <w:rPr>
          <w:rFonts w:hint="eastAsia" w:ascii="楷体_GB2312" w:hAnsi="楷体_GB2312" w:eastAsia="楷体_GB2312" w:cs="楷体_GB2312"/>
          <w:b w:val="0"/>
          <w:bCs w:val="0"/>
          <w:snapToGrid w:val="0"/>
          <w:color w:val="auto"/>
          <w:kern w:val="0"/>
          <w:sz w:val="32"/>
          <w:szCs w:val="32"/>
        </w:rPr>
        <w:t>渔港所有权。</w:t>
      </w:r>
      <w:r>
        <w:rPr>
          <w:rFonts w:hint="eastAsia" w:ascii="仿宋_GB2312" w:hAnsi="仿宋_GB2312" w:eastAsia="仿宋_GB2312" w:cs="仿宋_GB2312"/>
          <w:snapToGrid w:val="0"/>
          <w:color w:val="auto"/>
          <w:kern w:val="0"/>
          <w:sz w:val="32"/>
          <w:szCs w:val="32"/>
        </w:rPr>
        <w:t>依据民法典“物权编”</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所有权人对自己的不动产或者动产，依法享有占有、使用、收益和处分的权利。所有权人有权在自己的不动产或者动产上设立用益物权和担保物权。</w:t>
      </w:r>
    </w:p>
    <w:p w14:paraId="069AE76F">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spacing w:val="-6"/>
          <w:kern w:val="0"/>
          <w:sz w:val="32"/>
          <w:szCs w:val="32"/>
        </w:rPr>
      </w:pPr>
      <w:r>
        <w:rPr>
          <w:rFonts w:hint="eastAsia" w:ascii="仿宋_GB2312" w:hAnsi="仿宋_GB2312" w:eastAsia="仿宋_GB2312" w:cs="仿宋_GB2312"/>
          <w:b w:val="0"/>
          <w:bCs w:val="0"/>
          <w:snapToGrid w:val="0"/>
          <w:color w:val="auto"/>
          <w:kern w:val="0"/>
          <w:sz w:val="32"/>
          <w:szCs w:val="32"/>
        </w:rPr>
        <w:t>1.渔港陆域的所有权：</w:t>
      </w:r>
      <w:r>
        <w:rPr>
          <w:rFonts w:hint="eastAsia" w:ascii="仿宋_GB2312" w:hAnsi="仿宋_GB2312" w:eastAsia="仿宋_GB2312" w:cs="仿宋_GB2312"/>
          <w:snapToGrid w:val="0"/>
          <w:color w:val="auto"/>
          <w:kern w:val="0"/>
          <w:sz w:val="32"/>
          <w:szCs w:val="32"/>
        </w:rPr>
        <w:t>依据土地管理法，位于城市市区的渔港陆域土地属于国家所有；位于农村和城市郊区的渔港陆域土地</w:t>
      </w:r>
      <w:r>
        <w:rPr>
          <w:rFonts w:hint="eastAsia" w:ascii="仿宋_GB2312" w:hAnsi="仿宋_GB2312" w:eastAsia="仿宋_GB2312" w:cs="仿宋_GB2312"/>
          <w:snapToGrid w:val="0"/>
          <w:color w:val="auto"/>
          <w:spacing w:val="-6"/>
          <w:kern w:val="0"/>
          <w:sz w:val="32"/>
          <w:szCs w:val="32"/>
        </w:rPr>
        <w:t>属于农民集体所有（除由法律规定属于国家所有的以外）。征用占用宅基地和自留地、自留山的渔港陆域土地属于农民集体所有。</w:t>
      </w:r>
    </w:p>
    <w:p w14:paraId="69B71FDF">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2.渔港水域的所有权：</w:t>
      </w:r>
      <w:r>
        <w:rPr>
          <w:rFonts w:hint="eastAsia" w:ascii="仿宋_GB2312" w:hAnsi="仿宋_GB2312" w:eastAsia="仿宋_GB2312" w:cs="仿宋_GB2312"/>
          <w:snapToGrid w:val="0"/>
          <w:color w:val="auto"/>
          <w:kern w:val="0"/>
          <w:sz w:val="32"/>
          <w:szCs w:val="32"/>
        </w:rPr>
        <w:t>依据民法典“物权编”，水流、海域属于国家所有；渔港水域中的无居民海岛属于国家所有。</w:t>
      </w:r>
    </w:p>
    <w:p w14:paraId="0E4A11AB">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val="0"/>
          <w:bCs w:val="0"/>
          <w:snapToGrid w:val="0"/>
          <w:color w:val="auto"/>
          <w:kern w:val="0"/>
          <w:sz w:val="32"/>
          <w:szCs w:val="32"/>
        </w:rPr>
        <w:t>3.渔港设施的所有权：</w:t>
      </w:r>
      <w:r>
        <w:rPr>
          <w:rFonts w:hint="eastAsia" w:ascii="仿宋_GB2312" w:hAnsi="仿宋_GB2312" w:eastAsia="仿宋_GB2312" w:cs="仿宋_GB2312"/>
          <w:snapToGrid w:val="0"/>
          <w:color w:val="auto"/>
          <w:kern w:val="0"/>
          <w:sz w:val="32"/>
          <w:szCs w:val="32"/>
        </w:rPr>
        <w:t>依据港口法，渔港设施的所有权，依照有关法律规定确定。依据《行政事业性国有资产管理条例》，使用财政资金形成的渔港公益性设施属于国有资产；依据民法典“物权编”，铁路、公路、电力设施、电信设施和油气管道等基础设施，依照法律规定为国家所有的，属于国家所有；营利法人投资的渔港设施依照法律、行政法规以及章程享有所有权，营利法人以外的法人，对其投资的渔港设施，适用有关法律、行政法规以及章程的规定；私人对在渔港范围投资的房屋、生产工具等不动产和动产享有所有权。</w:t>
      </w:r>
    </w:p>
    <w:p w14:paraId="244D7A33">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楷体_GB2312" w:hAnsi="楷体_GB2312" w:eastAsia="楷体_GB2312" w:cs="楷体_GB2312"/>
          <w:b w:val="0"/>
          <w:bCs w:val="0"/>
          <w:snapToGrid w:val="0"/>
          <w:color w:val="auto"/>
          <w:kern w:val="0"/>
          <w:sz w:val="32"/>
          <w:szCs w:val="32"/>
          <w:lang w:eastAsia="zh-CN"/>
        </w:rPr>
        <w:t>（</w:t>
      </w:r>
      <w:r>
        <w:rPr>
          <w:rFonts w:hint="eastAsia" w:ascii="楷体_GB2312" w:hAnsi="楷体_GB2312" w:eastAsia="楷体_GB2312" w:cs="楷体_GB2312"/>
          <w:b w:val="0"/>
          <w:bCs w:val="0"/>
          <w:snapToGrid w:val="0"/>
          <w:color w:val="auto"/>
          <w:kern w:val="0"/>
          <w:sz w:val="32"/>
          <w:szCs w:val="32"/>
        </w:rPr>
        <w:t>二</w:t>
      </w:r>
      <w:r>
        <w:rPr>
          <w:rFonts w:hint="eastAsia" w:ascii="楷体_GB2312" w:hAnsi="楷体_GB2312" w:eastAsia="楷体_GB2312" w:cs="楷体_GB2312"/>
          <w:b w:val="0"/>
          <w:bCs w:val="0"/>
          <w:snapToGrid w:val="0"/>
          <w:color w:val="auto"/>
          <w:kern w:val="0"/>
          <w:sz w:val="32"/>
          <w:szCs w:val="32"/>
          <w:lang w:eastAsia="zh-CN"/>
        </w:rPr>
        <w:t>）</w:t>
      </w:r>
      <w:r>
        <w:rPr>
          <w:rFonts w:hint="eastAsia" w:ascii="楷体_GB2312" w:hAnsi="楷体_GB2312" w:eastAsia="楷体_GB2312" w:cs="楷体_GB2312"/>
          <w:b w:val="0"/>
          <w:bCs w:val="0"/>
          <w:snapToGrid w:val="0"/>
          <w:color w:val="auto"/>
          <w:kern w:val="0"/>
          <w:sz w:val="32"/>
          <w:szCs w:val="32"/>
        </w:rPr>
        <w:t>渔港管理权。</w:t>
      </w:r>
      <w:r>
        <w:rPr>
          <w:rFonts w:hint="eastAsia" w:ascii="仿宋_GB2312" w:hAnsi="仿宋_GB2312" w:eastAsia="仿宋_GB2312" w:cs="仿宋_GB2312"/>
          <w:snapToGrid w:val="0"/>
          <w:color w:val="auto"/>
          <w:kern w:val="0"/>
          <w:sz w:val="32"/>
          <w:szCs w:val="32"/>
        </w:rPr>
        <w:t>根据港口法，渔港管理由县级以上人民政府渔业行政主管部门负责，具体管理办法由国务院规定。渔港的管理权是法律赋予县级以上地方人民政府及其所属渔业行政主管部门的渔港管理权限。</w:t>
      </w:r>
    </w:p>
    <w:p w14:paraId="375F9CD9">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spacing w:val="-6"/>
          <w:kern w:val="0"/>
          <w:sz w:val="32"/>
          <w:szCs w:val="32"/>
        </w:rPr>
      </w:pPr>
      <w:r>
        <w:rPr>
          <w:rFonts w:hint="eastAsia" w:ascii="楷体_GB2312" w:hAnsi="楷体_GB2312" w:eastAsia="楷体_GB2312" w:cs="楷体_GB2312"/>
          <w:b w:val="0"/>
          <w:bCs w:val="0"/>
          <w:snapToGrid w:val="0"/>
          <w:color w:val="auto"/>
          <w:kern w:val="0"/>
          <w:sz w:val="32"/>
          <w:szCs w:val="32"/>
          <w:lang w:eastAsia="zh-CN"/>
        </w:rPr>
        <w:t>（</w:t>
      </w:r>
      <w:r>
        <w:rPr>
          <w:rFonts w:hint="eastAsia" w:ascii="楷体_GB2312" w:hAnsi="楷体_GB2312" w:eastAsia="楷体_GB2312" w:cs="楷体_GB2312"/>
          <w:b w:val="0"/>
          <w:bCs w:val="0"/>
          <w:snapToGrid w:val="0"/>
          <w:color w:val="auto"/>
          <w:spacing w:val="-6"/>
          <w:kern w:val="0"/>
          <w:sz w:val="32"/>
          <w:szCs w:val="32"/>
        </w:rPr>
        <w:t>三</w:t>
      </w:r>
      <w:r>
        <w:rPr>
          <w:rFonts w:hint="eastAsia" w:ascii="楷体_GB2312" w:hAnsi="楷体_GB2312" w:eastAsia="楷体_GB2312" w:cs="楷体_GB2312"/>
          <w:b w:val="0"/>
          <w:bCs w:val="0"/>
          <w:snapToGrid w:val="0"/>
          <w:color w:val="auto"/>
          <w:spacing w:val="-6"/>
          <w:kern w:val="0"/>
          <w:sz w:val="32"/>
          <w:szCs w:val="32"/>
          <w:lang w:eastAsia="zh-CN"/>
        </w:rPr>
        <w:t>）</w:t>
      </w:r>
      <w:r>
        <w:rPr>
          <w:rFonts w:hint="eastAsia" w:ascii="楷体_GB2312" w:hAnsi="楷体_GB2312" w:eastAsia="楷体_GB2312" w:cs="楷体_GB2312"/>
          <w:b w:val="0"/>
          <w:bCs w:val="0"/>
          <w:snapToGrid w:val="0"/>
          <w:color w:val="auto"/>
          <w:spacing w:val="-6"/>
          <w:kern w:val="0"/>
          <w:sz w:val="32"/>
          <w:szCs w:val="32"/>
        </w:rPr>
        <w:t>渔港经营权。</w:t>
      </w:r>
      <w:r>
        <w:rPr>
          <w:rFonts w:hint="eastAsia" w:ascii="仿宋_GB2312" w:hAnsi="仿宋_GB2312" w:eastAsia="仿宋_GB2312" w:cs="仿宋_GB2312"/>
          <w:snapToGrid w:val="0"/>
          <w:color w:val="auto"/>
          <w:spacing w:val="-6"/>
          <w:kern w:val="0"/>
          <w:sz w:val="32"/>
          <w:szCs w:val="32"/>
        </w:rPr>
        <w:t>渔港经营包括在渔港港区内码头和其他渔港设施的经营，渔获物和渔需物资装卸、运输、仓储等经营活动。</w:t>
      </w:r>
    </w:p>
    <w:p w14:paraId="78D3FDC2">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规模指标（见3.3）:</w:t>
      </w:r>
      <w:r>
        <w:rPr>
          <w:rFonts w:hint="eastAsia" w:ascii="仿宋_GB2312" w:hAnsi="仿宋_GB2312" w:eastAsia="仿宋_GB2312" w:cs="仿宋_GB2312"/>
          <w:snapToGrid w:val="0"/>
          <w:color w:val="auto"/>
          <w:kern w:val="0"/>
          <w:sz w:val="32"/>
          <w:szCs w:val="32"/>
        </w:rPr>
        <w:t>规模大小是等级划分的常用标准。结合现有渔港建设分级标准，为确保渔港能切实发挥鱼货装卸、补给、锚泊、避风等基本功能，不同等级渔港应具备不同规模的水陆域范围和设施配备。</w:t>
      </w:r>
    </w:p>
    <w:p w14:paraId="2AE76111">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码头长度（见3.3.1）:</w:t>
      </w:r>
      <w:r>
        <w:rPr>
          <w:rFonts w:hint="eastAsia" w:ascii="仿宋_GB2312" w:hAnsi="仿宋_GB2312" w:eastAsia="仿宋_GB2312" w:cs="仿宋_GB2312"/>
          <w:snapToGrid w:val="0"/>
          <w:color w:val="auto"/>
          <w:kern w:val="0"/>
          <w:sz w:val="32"/>
          <w:szCs w:val="32"/>
        </w:rPr>
        <w:t>渔港码头是供渔船靠泊、鱼货装卸、物资补给、渔船航修及人员上下的水工建筑物。根据《渔港总体设计规范》（SC/T9010</w:t>
      </w:r>
      <w:r>
        <w:rPr>
          <w:rFonts w:hint="eastAsia"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rPr>
        <w:t>2000），码头长度指渔船在码头前沿停靠所需的水工建筑物的长度。中心渔港码头岸线长度不少于600m，一级渔港码头岸线长度不少于400m，二级渔港码头长度达到一定标准，三级渔港有一定的码头规模。</w:t>
      </w:r>
    </w:p>
    <w:p w14:paraId="4B83F111">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二级渔港码头泊位长度一般不小于150m。三级渔港至少拥有一个可供中型渔船靠泊的泊位。根据《渔港总体设计规范》（SC/T9010</w:t>
      </w:r>
      <w:r>
        <w:rPr>
          <w:rFonts w:hint="eastAsia"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rPr>
        <w:t>2000），取中型渔船为设计代表船型，按一个端部泊位占用码头长度计，三级渔港码头应不小于30m。</w:t>
      </w:r>
    </w:p>
    <w:p w14:paraId="10F3C07B">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根据广东省渔港建设现状，三级以下渔港有系泊设施即可，对码头长度不作要求。</w:t>
      </w:r>
    </w:p>
    <w:p w14:paraId="04FB7034">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水域面积（见3.3.2）:</w:t>
      </w:r>
      <w:r>
        <w:rPr>
          <w:rFonts w:hint="eastAsia" w:ascii="仿宋_GB2312" w:hAnsi="仿宋_GB2312" w:eastAsia="仿宋_GB2312" w:cs="仿宋_GB2312"/>
          <w:snapToGrid w:val="0"/>
          <w:color w:val="auto"/>
          <w:kern w:val="0"/>
          <w:sz w:val="32"/>
          <w:szCs w:val="32"/>
        </w:rPr>
        <w:t>是指港界内水上范围的总面积，包括港池、锚地、避风湾和航道等面积。水域面积以渔港港章、港界中的海域面积数据为准。</w:t>
      </w:r>
    </w:p>
    <w:p w14:paraId="492D1A58">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根据现行渔港建设标准（即原农业部编制的《全国渔港建设规划》提出的渔港等级划分标准），中心渔港水域面积应达到40万㎡，一级渔港水域面积应达到30万㎡。根据2018年原农业部办公厅印发的《渔港升级改造和整治维护规划》，二级渔港港内有效掩护水域面积不小于5万㎡。</w:t>
      </w:r>
    </w:p>
    <w:p w14:paraId="3694E0B3">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按照三级渔港可锚泊渔船不小于50艘的要求，</w:t>
      </w:r>
      <w:r>
        <w:rPr>
          <w:rFonts w:hint="eastAsia" w:ascii="仿宋_GB2312" w:hAnsi="仿宋_GB2312" w:eastAsia="仿宋_GB2312" w:cs="仿宋_GB2312"/>
          <w:b w:val="0"/>
          <w:bCs w:val="0"/>
          <w:snapToGrid w:val="0"/>
          <w:color w:val="auto"/>
          <w:kern w:val="0"/>
          <w:sz w:val="32"/>
          <w:szCs w:val="32"/>
        </w:rPr>
        <w:t>每艘</w:t>
      </w:r>
      <w:r>
        <w:rPr>
          <w:rFonts w:hint="eastAsia" w:ascii="仿宋_GB2312" w:hAnsi="仿宋_GB2312" w:eastAsia="仿宋_GB2312" w:cs="仿宋_GB2312"/>
          <w:b w:val="0"/>
          <w:bCs w:val="0"/>
          <w:snapToGrid w:val="0"/>
          <w:color w:val="auto"/>
          <w:kern w:val="0"/>
          <w:sz w:val="32"/>
          <w:szCs w:val="32"/>
          <w:lang w:eastAsia="zh-CN"/>
        </w:rPr>
        <w:t>渔船</w:t>
      </w:r>
      <w:r>
        <w:rPr>
          <w:rFonts w:hint="eastAsia" w:ascii="仿宋_GB2312" w:hAnsi="仿宋_GB2312" w:eastAsia="仿宋_GB2312" w:cs="仿宋_GB2312"/>
          <w:b w:val="0"/>
          <w:bCs w:val="0"/>
          <w:snapToGrid w:val="0"/>
          <w:color w:val="auto"/>
          <w:kern w:val="0"/>
          <w:sz w:val="32"/>
          <w:szCs w:val="32"/>
        </w:rPr>
        <w:t>水域面积按照200㎡计算</w:t>
      </w:r>
      <w:r>
        <w:rPr>
          <w:rFonts w:hint="eastAsia" w:ascii="仿宋_GB2312" w:hAnsi="仿宋_GB2312" w:eastAsia="仿宋_GB2312" w:cs="仿宋_GB2312"/>
          <w:b w:val="0"/>
          <w:bCs w:val="0"/>
          <w:snapToGrid w:val="0"/>
          <w:color w:val="auto"/>
          <w:kern w:val="0"/>
          <w:sz w:val="32"/>
          <w:szCs w:val="32"/>
          <w:lang w:eastAsia="zh-CN"/>
        </w:rPr>
        <w:t>，三级渔港水域面积应达到1万㎡。三级以下渔港有一定水域面积即可。</w:t>
      </w:r>
    </w:p>
    <w:p w14:paraId="72CE05D8">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陆域面积（见3.3.3）:</w:t>
      </w:r>
      <w:r>
        <w:rPr>
          <w:rFonts w:hint="eastAsia" w:ascii="仿宋_GB2312" w:hAnsi="仿宋_GB2312" w:eastAsia="仿宋_GB2312" w:cs="仿宋_GB2312"/>
          <w:snapToGrid w:val="0"/>
          <w:color w:val="auto"/>
          <w:kern w:val="0"/>
          <w:sz w:val="32"/>
          <w:szCs w:val="32"/>
        </w:rPr>
        <w:t>是指渔港港界内的渔港相关业务用地面积，包括渔获物分拣及交易区、冷藏加工区、综合物资区、修船区、油库区、综合管理区、晒网补网场地、港内道路、绿化、预留发展用地等的总面积。陆域面积以渔港港章、港界中的土地面积数据为准。陆域各区的规模，应根据渔港等级、到港渔船类型及数量、鱼货卸港量、生产工艺等要求确定。</w:t>
      </w:r>
    </w:p>
    <w:p w14:paraId="2D1DC091">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color w:val="auto"/>
          <w:kern w:val="0"/>
          <w:sz w:val="32"/>
          <w:szCs w:val="32"/>
        </w:rPr>
        <w:t>根据现行渔港建设标准，中心渔港陆域面积应达到20万㎡，一级渔港陆域面积应达到10万㎡。根据《渔港升级改造和整治维护规划》，二级渔港陆域面积原则上不小于2万㎡。</w:t>
      </w:r>
    </w:p>
    <w:p w14:paraId="49BCC260">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b w:val="0"/>
          <w:bCs w:val="0"/>
          <w:snapToGrid w:val="0"/>
          <w:color w:val="auto"/>
          <w:kern w:val="0"/>
          <w:sz w:val="32"/>
          <w:szCs w:val="32"/>
          <w:lang w:eastAsia="zh-CN"/>
        </w:rPr>
      </w:pPr>
      <w:r>
        <w:rPr>
          <w:rFonts w:hint="eastAsia" w:ascii="仿宋_GB2312" w:hAnsi="仿宋_GB2312" w:eastAsia="仿宋_GB2312" w:cs="仿宋_GB2312"/>
          <w:b w:val="0"/>
          <w:bCs w:val="0"/>
          <w:snapToGrid w:val="0"/>
          <w:color w:val="auto"/>
          <w:kern w:val="0"/>
          <w:sz w:val="32"/>
          <w:szCs w:val="32"/>
          <w:lang w:eastAsia="zh-CN"/>
        </w:rPr>
        <w:t>按照</w:t>
      </w:r>
      <w:r>
        <w:rPr>
          <w:rFonts w:hint="eastAsia" w:ascii="仿宋_GB2312" w:hAnsi="仿宋_GB2312" w:eastAsia="仿宋_GB2312" w:cs="仿宋_GB2312"/>
          <w:b w:val="0"/>
          <w:bCs w:val="0"/>
          <w:snapToGrid w:val="0"/>
          <w:color w:val="auto"/>
          <w:kern w:val="0"/>
          <w:sz w:val="32"/>
          <w:szCs w:val="32"/>
        </w:rPr>
        <w:t>码头后方陆域</w:t>
      </w:r>
      <w:r>
        <w:rPr>
          <w:rFonts w:hint="eastAsia" w:ascii="仿宋_GB2312" w:hAnsi="仿宋_GB2312" w:eastAsia="仿宋_GB2312" w:cs="仿宋_GB2312"/>
          <w:b w:val="0"/>
          <w:bCs w:val="0"/>
          <w:snapToGrid w:val="0"/>
          <w:color w:val="auto"/>
          <w:kern w:val="0"/>
          <w:sz w:val="32"/>
          <w:szCs w:val="32"/>
          <w:lang w:val="en-US" w:eastAsia="zh-CN"/>
        </w:rPr>
        <w:t>2</w:t>
      </w:r>
      <w:r>
        <w:rPr>
          <w:rFonts w:hint="eastAsia" w:ascii="仿宋_GB2312" w:hAnsi="仿宋_GB2312" w:eastAsia="仿宋_GB2312" w:cs="仿宋_GB2312"/>
          <w:b w:val="0"/>
          <w:bCs w:val="0"/>
          <w:snapToGrid w:val="0"/>
          <w:color w:val="auto"/>
          <w:kern w:val="0"/>
          <w:sz w:val="32"/>
          <w:szCs w:val="32"/>
        </w:rPr>
        <w:t>0米范围内可以作为物资堆放、车辆停放</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rPr>
        <w:t>长度方向为码头长度前后各扩展10米考虑</w:t>
      </w:r>
      <w:r>
        <w:rPr>
          <w:rFonts w:hint="eastAsia" w:ascii="仿宋_GB2312" w:hAnsi="仿宋_GB2312" w:eastAsia="仿宋_GB2312" w:cs="仿宋_GB2312"/>
          <w:b w:val="0"/>
          <w:bCs w:val="0"/>
          <w:snapToGrid w:val="0"/>
          <w:color w:val="auto"/>
          <w:kern w:val="0"/>
          <w:sz w:val="32"/>
          <w:szCs w:val="32"/>
          <w:lang w:eastAsia="zh-CN"/>
        </w:rPr>
        <w:t>，三级渔港陆域面积应达到</w:t>
      </w:r>
      <w:r>
        <w:rPr>
          <w:rFonts w:hint="eastAsia" w:ascii="仿宋_GB2312" w:hAnsi="仿宋_GB2312" w:eastAsia="仿宋_GB2312" w:cs="仿宋_GB2312"/>
          <w:b w:val="0"/>
          <w:bCs w:val="0"/>
          <w:snapToGrid w:val="0"/>
          <w:color w:val="auto"/>
          <w:kern w:val="0"/>
          <w:sz w:val="32"/>
          <w:szCs w:val="32"/>
          <w:lang w:val="en-US" w:eastAsia="zh-CN"/>
        </w:rPr>
        <w:t>1000</w:t>
      </w:r>
      <w:r>
        <w:rPr>
          <w:rFonts w:hint="eastAsia" w:ascii="仿宋_GB2312" w:hAnsi="仿宋_GB2312" w:eastAsia="仿宋_GB2312" w:cs="仿宋_GB2312"/>
          <w:b w:val="0"/>
          <w:bCs w:val="0"/>
          <w:snapToGrid w:val="0"/>
          <w:color w:val="auto"/>
          <w:kern w:val="0"/>
          <w:sz w:val="32"/>
          <w:szCs w:val="32"/>
          <w:lang w:eastAsia="zh-CN"/>
        </w:rPr>
        <w:t>㎡</w:t>
      </w:r>
      <w:r>
        <w:rPr>
          <w:rFonts w:hint="eastAsia" w:ascii="仿宋_GB2312" w:hAnsi="仿宋_GB2312" w:eastAsia="仿宋_GB2312" w:cs="仿宋_GB2312"/>
          <w:b w:val="0"/>
          <w:bCs w:val="0"/>
          <w:snapToGrid w:val="0"/>
          <w:color w:val="auto"/>
          <w:kern w:val="0"/>
          <w:sz w:val="32"/>
          <w:szCs w:val="32"/>
        </w:rPr>
        <w:t>。</w:t>
      </w:r>
      <w:r>
        <w:rPr>
          <w:rFonts w:hint="eastAsia" w:ascii="仿宋_GB2312" w:hAnsi="仿宋_GB2312" w:eastAsia="仿宋_GB2312" w:cs="仿宋_GB2312"/>
          <w:b w:val="0"/>
          <w:bCs w:val="0"/>
          <w:snapToGrid w:val="0"/>
          <w:color w:val="auto"/>
          <w:kern w:val="0"/>
          <w:sz w:val="32"/>
          <w:szCs w:val="32"/>
          <w:lang w:eastAsia="zh-CN"/>
        </w:rPr>
        <w:t>三级以下渔港有一定陆域面积即可。</w:t>
      </w:r>
    </w:p>
    <w:p w14:paraId="1466E4DB">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服务能力指标（见3.4）:</w:t>
      </w:r>
      <w:r>
        <w:rPr>
          <w:rFonts w:hint="eastAsia" w:ascii="仿宋_GB2312" w:hAnsi="仿宋_GB2312" w:eastAsia="仿宋_GB2312" w:cs="仿宋_GB2312"/>
          <w:snapToGrid w:val="0"/>
          <w:color w:val="auto"/>
          <w:kern w:val="0"/>
          <w:sz w:val="32"/>
          <w:szCs w:val="32"/>
        </w:rPr>
        <w:t>包括可靠泊渔船能力、可容纳锚泊渔船数量和渔获物年卸港量。</w:t>
      </w:r>
    </w:p>
    <w:p w14:paraId="59368E9F">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可靠泊渔船能力（见3.4.1）:</w:t>
      </w:r>
      <w:r>
        <w:rPr>
          <w:rFonts w:hint="eastAsia" w:ascii="仿宋_GB2312" w:hAnsi="仿宋_GB2312" w:eastAsia="仿宋_GB2312" w:cs="仿宋_GB2312"/>
          <w:snapToGrid w:val="0"/>
          <w:color w:val="auto"/>
          <w:kern w:val="0"/>
          <w:sz w:val="32"/>
          <w:szCs w:val="32"/>
        </w:rPr>
        <w:t>是渔港建设的主要考虑因素，亦是渔港服务能力的重要体现。渔港设计和建设阶段，可靠泊渔船能力主要是通过设计代表船型体现。为了满足渔船靠泊需求，渔港水域应保持良好水深条件，港池、航道和锚地水域应满足设计船型渔船正常进出港需求。</w:t>
      </w:r>
    </w:p>
    <w:p w14:paraId="2689AC7C">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根据《渔业捕捞许可管理规定》，海洋渔船按船长分为以下三类：</w:t>
      </w:r>
    </w:p>
    <w:p w14:paraId="1FA3D611">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（1）海洋大型渔船（船长≥24m）；</w:t>
      </w:r>
    </w:p>
    <w:p w14:paraId="0520262D">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（2）海洋中型渔船（12m≤船长&lt;24m）；</w:t>
      </w:r>
    </w:p>
    <w:p w14:paraId="599CD522">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（3）海洋小型渔船（船长&lt;12m）。</w:t>
      </w:r>
    </w:p>
    <w:p w14:paraId="4DBEBFFC">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可容纳锚泊渔船数量（见3.4.2）:</w:t>
      </w:r>
      <w:r>
        <w:rPr>
          <w:rFonts w:hint="eastAsia" w:ascii="仿宋_GB2312" w:hAnsi="仿宋_GB2312" w:eastAsia="仿宋_GB2312" w:cs="仿宋_GB2312"/>
          <w:snapToGrid w:val="0"/>
          <w:color w:val="auto"/>
          <w:kern w:val="0"/>
          <w:sz w:val="32"/>
          <w:szCs w:val="32"/>
        </w:rPr>
        <w:t>可容纳锚泊渔船数量为渔港设计锚泊的各种类型渔船数量合计，或统计的实际锚泊各种类型渔船数量合计。渔港为伏季休渔和进港避风的渔船提供停泊水域，且可容纳锚泊渔船数量作为渔港建设的主要指标。各等级渔港的可容纳锚泊渔船不区分船型大小。</w:t>
      </w:r>
    </w:p>
    <w:p w14:paraId="31A6CE0F">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渔获物年卸港量（见3.4.3）:</w:t>
      </w:r>
      <w:r>
        <w:rPr>
          <w:rFonts w:hint="eastAsia" w:ascii="仿宋_GB2312" w:hAnsi="仿宋_GB2312" w:eastAsia="仿宋_GB2312" w:cs="仿宋_GB2312"/>
          <w:snapToGrid w:val="0"/>
          <w:color w:val="auto"/>
          <w:kern w:val="0"/>
          <w:sz w:val="32"/>
          <w:szCs w:val="32"/>
        </w:rPr>
        <w:t>是指渔港设计渔获物年卸港量。根据《渔港总体设计规范》（SC/T9010</w:t>
      </w:r>
      <w:r>
        <w:rPr>
          <w:rFonts w:hint="eastAsia" w:ascii="仿宋_GB2312" w:hAnsi="仿宋_GB2312" w:eastAsia="仿宋_GB2312" w:cs="仿宋_GB2312"/>
          <w:snapToGrid w:val="0"/>
          <w:color w:val="auto"/>
          <w:kern w:val="0"/>
          <w:sz w:val="32"/>
          <w:szCs w:val="32"/>
          <w:lang w:val="en-US" w:eastAsia="zh-CN"/>
        </w:rPr>
        <w:t>-</w:t>
      </w:r>
      <w:r>
        <w:rPr>
          <w:rFonts w:hint="eastAsia" w:ascii="仿宋_GB2312" w:hAnsi="仿宋_GB2312" w:eastAsia="仿宋_GB2312" w:cs="仿宋_GB2312"/>
          <w:snapToGrid w:val="0"/>
          <w:color w:val="auto"/>
          <w:kern w:val="0"/>
          <w:sz w:val="32"/>
          <w:szCs w:val="32"/>
        </w:rPr>
        <w:t>2000）和渔港建设实践调研情况，中心渔港渔获物年卸港量在8万吨以上；一级渔港渔获物年卸港量在4万吨以上</w:t>
      </w:r>
      <w:r>
        <w:rPr>
          <w:rFonts w:hint="eastAsia" w:ascii="仿宋_GB2312" w:hAnsi="仿宋_GB2312" w:eastAsia="仿宋_GB2312" w:cs="仿宋_GB2312"/>
          <w:snapToGrid w:val="0"/>
          <w:color w:val="auto"/>
          <w:kern w:val="0"/>
          <w:sz w:val="32"/>
          <w:szCs w:val="32"/>
          <w:lang w:eastAsia="zh-CN"/>
        </w:rPr>
        <w:t>；二级渔港渔获物年卸港量在</w:t>
      </w:r>
      <w:r>
        <w:rPr>
          <w:rFonts w:hint="eastAsia" w:ascii="仿宋_GB2312" w:hAnsi="仿宋_GB2312" w:eastAsia="仿宋_GB2312" w:cs="仿宋_GB2312"/>
          <w:snapToGrid w:val="0"/>
          <w:color w:val="auto"/>
          <w:kern w:val="0"/>
          <w:sz w:val="32"/>
          <w:szCs w:val="32"/>
          <w:lang w:val="en-US" w:eastAsia="zh-CN"/>
        </w:rPr>
        <w:t>3000</w:t>
      </w:r>
      <w:r>
        <w:rPr>
          <w:rFonts w:hint="eastAsia" w:ascii="仿宋_GB2312" w:hAnsi="仿宋_GB2312" w:eastAsia="仿宋_GB2312" w:cs="仿宋_GB2312"/>
          <w:snapToGrid w:val="0"/>
          <w:color w:val="auto"/>
          <w:kern w:val="0"/>
          <w:sz w:val="32"/>
          <w:szCs w:val="32"/>
          <w:lang w:eastAsia="zh-CN"/>
        </w:rPr>
        <w:t>吨以上</w:t>
      </w:r>
      <w:r>
        <w:rPr>
          <w:rFonts w:hint="eastAsia" w:ascii="仿宋_GB2312" w:hAnsi="仿宋_GB2312" w:eastAsia="仿宋_GB2312" w:cs="仿宋_GB2312"/>
          <w:snapToGrid w:val="0"/>
          <w:color w:val="auto"/>
          <w:kern w:val="0"/>
          <w:sz w:val="32"/>
          <w:szCs w:val="32"/>
        </w:rPr>
        <w:t>。对于缺少明确设计依据的，渔获物年卸港量以申请认定年份前5年的年卸港量平均值，或前三年内的最大值计取。渔获物年卸港量的统计应有统计机制和具体统计数据。对于中心渔港</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一级渔港</w:t>
      </w:r>
      <w:r>
        <w:rPr>
          <w:rFonts w:hint="eastAsia" w:ascii="仿宋_GB2312" w:hAnsi="仿宋_GB2312" w:eastAsia="仿宋_GB2312" w:cs="仿宋_GB2312"/>
          <w:snapToGrid w:val="0"/>
          <w:color w:val="auto"/>
          <w:kern w:val="0"/>
          <w:sz w:val="32"/>
          <w:szCs w:val="32"/>
          <w:lang w:eastAsia="zh-CN"/>
        </w:rPr>
        <w:t>和二级渔港</w:t>
      </w:r>
      <w:r>
        <w:rPr>
          <w:rFonts w:hint="eastAsia" w:ascii="仿宋_GB2312" w:hAnsi="仿宋_GB2312" w:eastAsia="仿宋_GB2312" w:cs="仿宋_GB2312"/>
          <w:snapToGrid w:val="0"/>
          <w:color w:val="auto"/>
          <w:kern w:val="0"/>
          <w:sz w:val="32"/>
          <w:szCs w:val="32"/>
        </w:rPr>
        <w:t>，该项指标为约束性指标。</w:t>
      </w:r>
    </w:p>
    <w:p w14:paraId="4E210320">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监管能力指标（见3.5）:</w:t>
      </w:r>
      <w:r>
        <w:rPr>
          <w:rFonts w:hint="eastAsia" w:ascii="仿宋_GB2312" w:hAnsi="仿宋_GB2312" w:eastAsia="仿宋_GB2312" w:cs="仿宋_GB2312"/>
          <w:snapToGrid w:val="0"/>
          <w:color w:val="auto"/>
          <w:kern w:val="0"/>
          <w:sz w:val="32"/>
          <w:szCs w:val="32"/>
        </w:rPr>
        <w:t>监管能力指标包括渔港监督管理机构、港务管理机构、渔港综合管理服务中心、渔船动态监控管理、渔港视频监控、污染防治设施、应急管理设施。</w:t>
      </w:r>
    </w:p>
    <w:p w14:paraId="56944D2B">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渔港监督管理机构（见3.5.1）:</w:t>
      </w:r>
      <w:r>
        <w:rPr>
          <w:rFonts w:hint="eastAsia" w:ascii="仿宋_GB2312" w:hAnsi="仿宋_GB2312" w:eastAsia="仿宋_GB2312" w:cs="仿宋_GB2312"/>
          <w:snapToGrid w:val="0"/>
          <w:color w:val="auto"/>
          <w:kern w:val="0"/>
          <w:sz w:val="32"/>
          <w:szCs w:val="32"/>
        </w:rPr>
        <w:t>是指根据渔业法第六条规定，县级以上人民政府渔业行政主管部门在渔港设立的渔政监督管理机构。主要承担渔港设施装备保护、渔港环境保护监督、港内安全管理、港内施工作业和港内水域通行锚泊管理等工作。渔港监督管理机构应有完善的监管制度，对监管内容、职责、工作流程等应明确具体。渔港监督管理机构应在中心和一级渔港驻港，二级及以下渔港可不驻港，但需有明确的监管机构。</w:t>
      </w:r>
    </w:p>
    <w:p w14:paraId="36CA67ED">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港务管理机构（见3.5.2）:</w:t>
      </w:r>
      <w:r>
        <w:rPr>
          <w:rFonts w:hint="eastAsia" w:ascii="仿宋_GB2312" w:hAnsi="仿宋_GB2312" w:eastAsia="仿宋_GB2312" w:cs="仿宋_GB2312"/>
          <w:snapToGrid w:val="0"/>
          <w:color w:val="auto"/>
          <w:kern w:val="0"/>
          <w:sz w:val="32"/>
          <w:szCs w:val="32"/>
        </w:rPr>
        <w:t>一般为当地的渔业行政主管部门，或其委托的渔港建设开发公司，或渔港管理站等，主要负责：贯彻执行有关渔港法律法规和港章，编制渔港建设规划，渔港基础性设施的建设、维护、运营和管理，渔船进出港、锚泊管理，渔获物装卸、运输、统计管理，渔港环境管理等。港务管理机构应有完善的管理制度，职责清晰，工作流程明确。</w:t>
      </w:r>
    </w:p>
    <w:p w14:paraId="785D65B6">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渔港物业管理主要包括渔港区域内的卫生保洁、保安以及基本设施维护等工作。驻港可根据各地实际情况，采取灵活形式，在渔港内设固定机构，或聘用相对固定人员队伍每日进港等。</w:t>
      </w:r>
    </w:p>
    <w:p w14:paraId="4A9801B1">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渔港综合管理服务中心（见3.5.3）:</w:t>
      </w:r>
      <w:r>
        <w:rPr>
          <w:rFonts w:hint="eastAsia" w:ascii="仿宋_GB2312" w:hAnsi="仿宋_GB2312" w:eastAsia="仿宋_GB2312" w:cs="仿宋_GB2312"/>
          <w:snapToGrid w:val="0"/>
          <w:color w:val="auto"/>
          <w:kern w:val="0"/>
          <w:sz w:val="32"/>
          <w:szCs w:val="32"/>
        </w:rPr>
        <w:t>渔港综合管理服务中心为驻港的各个部门提供办公场所，其建设面积大小，可根据其驻港部门的数量和实际的功能需求设置。从调研情况看，中心渔港综合管理服务中心建筑面积不少于1000㎡、一级渔港综合管理服务中心建筑面积不少于800㎡</w:t>
      </w:r>
      <w:r>
        <w:rPr>
          <w:rFonts w:hint="eastAsia" w:ascii="仿宋_GB2312" w:hAnsi="仿宋_GB2312" w:eastAsia="仿宋_GB2312" w:cs="仿宋_GB2312"/>
          <w:snapToGrid w:val="0"/>
          <w:color w:val="auto"/>
          <w:kern w:val="0"/>
          <w:sz w:val="32"/>
          <w:szCs w:val="32"/>
          <w:lang w:eastAsia="zh-CN"/>
        </w:rPr>
        <w:t>，二级及以下渔港根据驻港情况有一定面积即可</w:t>
      </w:r>
      <w:r>
        <w:rPr>
          <w:rFonts w:hint="eastAsia" w:ascii="仿宋_GB2312" w:hAnsi="仿宋_GB2312" w:eastAsia="仿宋_GB2312" w:cs="仿宋_GB2312"/>
          <w:snapToGrid w:val="0"/>
          <w:color w:val="auto"/>
          <w:kern w:val="0"/>
          <w:sz w:val="32"/>
          <w:szCs w:val="32"/>
        </w:rPr>
        <w:t>。自有或租赁用于各部门驻港开展综合管理服务的办公用房，其建筑面积均可计入渔港综合管理服务中心面积指标。</w:t>
      </w:r>
    </w:p>
    <w:p w14:paraId="3FE0B2A8">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渔船动态监控管理（见3.5.4）:</w:t>
      </w:r>
      <w:r>
        <w:rPr>
          <w:rFonts w:hint="eastAsia" w:ascii="仿宋_GB2312" w:hAnsi="仿宋_GB2312" w:eastAsia="仿宋_GB2312" w:cs="仿宋_GB2312"/>
          <w:snapToGrid w:val="0"/>
          <w:color w:val="auto"/>
          <w:kern w:val="0"/>
          <w:sz w:val="32"/>
          <w:szCs w:val="32"/>
        </w:rPr>
        <w:t>根据《关于施行渔船进出渔港报告制度的通告》要求，大中型渔船进出港报告需通过进出渔港报告系统进行。已接入渔船渔港动态监控管理系统的，应实现大中型渔船进出港动态监管。</w:t>
      </w:r>
    </w:p>
    <w:p w14:paraId="15B7A011">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渔港视频监控（见3.5.5）:</w:t>
      </w:r>
      <w:r>
        <w:rPr>
          <w:rFonts w:hint="eastAsia" w:ascii="仿宋_GB2312" w:hAnsi="仿宋_GB2312" w:eastAsia="仿宋_GB2312" w:cs="仿宋_GB2312"/>
          <w:snapToGrid w:val="0"/>
          <w:color w:val="auto"/>
          <w:kern w:val="0"/>
          <w:sz w:val="32"/>
          <w:szCs w:val="32"/>
        </w:rPr>
        <w:t>根据国家发展改革委等九部委联合发布的《关于加强公共安全视频监控建设联网应用工作的若干意见》，作为公共生产场所，渔港的码头、市场、主要出入口等区域应按重点区域进行建设。中心、一级、二级渔港视频监控需覆盖码头作业区和渔港水域，三级及以下渔港需覆盖水域。渔港视频监控系统应联网，监控数据保存时间不少于3个月。</w:t>
      </w:r>
    </w:p>
    <w:p w14:paraId="3807D972">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污染防治设施（见3.5.6）:</w:t>
      </w:r>
      <w:r>
        <w:rPr>
          <w:rFonts w:hint="eastAsia" w:ascii="仿宋_GB2312" w:hAnsi="仿宋_GB2312" w:eastAsia="仿宋_GB2312" w:cs="仿宋_GB2312"/>
          <w:snapToGrid w:val="0"/>
          <w:color w:val="auto"/>
          <w:kern w:val="0"/>
          <w:sz w:val="32"/>
          <w:szCs w:val="32"/>
        </w:rPr>
        <w:t>二级及以上渔港的污染防治设施设备配备应满足《沿海渔港污染防治设施设备配备总体要求》中“4一般要求”的规定。三级及以下渔港应配备污染防治设施设备，做好渔港污染防治工作。</w:t>
      </w:r>
    </w:p>
    <w:p w14:paraId="1D408E41">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应急管理设施（见3.5.7）:</w:t>
      </w:r>
      <w:r>
        <w:rPr>
          <w:rFonts w:hint="eastAsia" w:ascii="仿宋_GB2312" w:hAnsi="仿宋_GB2312" w:eastAsia="仿宋_GB2312" w:cs="仿宋_GB2312"/>
          <w:snapToGrid w:val="0"/>
          <w:color w:val="auto"/>
          <w:kern w:val="0"/>
          <w:sz w:val="32"/>
          <w:szCs w:val="32"/>
        </w:rPr>
        <w:t>目前，渔港消防设施的配备参差不齐。渔港消防设施应符合《建筑防火通用规范》《广东省渔港（停泊区）渔船消防安全设施配备指引（试行）》（粤农农函〔2022〕937号）等相关标准，同时考虑渔港的应急、救助、供电等要求，中心、一级、二级渔港的港区消防、救助、应急供电设施应满足应急需求，三级及以下渔港应当有应急管理设施。</w:t>
      </w:r>
    </w:p>
    <w:p w14:paraId="6B0A7A46">
      <w:pPr>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sz w:val="32"/>
          <w:szCs w:val="32"/>
        </w:rPr>
      </w:pPr>
    </w:p>
    <w:p w14:paraId="455022F0">
      <w:pPr>
        <w:adjustRightInd w:val="0"/>
        <w:snapToGrid w:val="0"/>
        <w:spacing w:beforeLines="0" w:afterLines="0" w:line="590" w:lineRule="exact"/>
        <w:ind w:firstLine="620" w:firstLineChars="200"/>
        <w:textAlignment w:val="baseline"/>
        <w:rPr>
          <w:rFonts w:hint="eastAsia" w:ascii="仿宋_GB2312" w:hAnsi="仿宋_GB2312" w:eastAsia="仿宋_GB2312" w:cs="仿宋_GB2312"/>
          <w:color w:val="auto"/>
          <w:spacing w:val="0"/>
          <w:kern w:val="0"/>
          <w:sz w:val="31"/>
          <w:szCs w:val="31"/>
        </w:rPr>
        <w:sectPr>
          <w:footerReference r:id="rId5" w:type="first"/>
          <w:headerReference r:id="rId3" w:type="default"/>
          <w:footerReference r:id="rId4" w:type="default"/>
          <w:pgSz w:w="11906" w:h="16838"/>
          <w:pgMar w:top="1871" w:right="1531" w:bottom="1871" w:left="1531" w:header="851" w:footer="1417" w:gutter="0"/>
          <w:pgNumType w:fmt="decimal" w:start="1"/>
          <w:cols w:space="720" w:num="1"/>
          <w:rtlGutter w:val="0"/>
          <w:docGrid w:type="lines" w:linePitch="595" w:charSpace="0"/>
        </w:sectPr>
      </w:pPr>
    </w:p>
    <w:p w14:paraId="31FDE41D">
      <w:pPr>
        <w:adjustRightInd w:val="0"/>
        <w:snapToGrid w:val="0"/>
        <w:spacing w:beforeLines="0" w:afterLines="0" w:line="590" w:lineRule="exact"/>
        <w:ind w:firstLine="0" w:firstLineChars="0"/>
        <w:textAlignment w:val="baseline"/>
        <w:rPr>
          <w:rFonts w:hint="eastAsia" w:ascii="黑体" w:hAnsi="黑体" w:eastAsia="黑体" w:cs="黑体"/>
          <w:color w:val="auto"/>
          <w:kern w:val="0"/>
          <w:sz w:val="32"/>
          <w:szCs w:val="32"/>
        </w:rPr>
      </w:pPr>
      <w:r>
        <w:rPr>
          <w:rFonts w:hint="eastAsia" w:ascii="黑体" w:hAnsi="黑体" w:eastAsia="黑体" w:cs="黑体"/>
          <w:color w:val="auto"/>
          <w:spacing w:val="0"/>
          <w:kern w:val="0"/>
          <w:sz w:val="32"/>
          <w:szCs w:val="32"/>
        </w:rPr>
        <w:t>附录3</w:t>
      </w:r>
    </w:p>
    <w:p w14:paraId="1C2AEEC1">
      <w:pPr>
        <w:adjustRightInd w:val="0"/>
        <w:snapToGrid w:val="0"/>
        <w:spacing w:before="0" w:beforeLines="0" w:afterLines="0" w:line="590" w:lineRule="exact"/>
        <w:ind w:firstLine="0" w:firstLineChars="0"/>
        <w:jc w:val="both"/>
        <w:rPr>
          <w:rFonts w:hint="eastAsia" w:ascii="仿宋_GB2312" w:hAnsi="仿宋_GB2312" w:eastAsia="仿宋_GB2312" w:cs="仿宋_GB2312"/>
          <w:color w:val="auto"/>
          <w:spacing w:val="0"/>
          <w:kern w:val="0"/>
          <w:sz w:val="44"/>
          <w:szCs w:val="44"/>
        </w:rPr>
      </w:pPr>
    </w:p>
    <w:p w14:paraId="650E7F7B">
      <w:pPr>
        <w:adjustRightInd w:val="0"/>
        <w:snapToGrid w:val="0"/>
        <w:spacing w:before="0"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spacing w:val="0"/>
          <w:kern w:val="0"/>
          <w:sz w:val="44"/>
          <w:szCs w:val="44"/>
        </w:rPr>
        <w:t>渔港权属清单</w:t>
      </w:r>
    </w:p>
    <w:p w14:paraId="2E0515D7">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rPr>
      </w:pPr>
    </w:p>
    <w:tbl>
      <w:tblPr>
        <w:tblStyle w:val="13"/>
        <w:tblW w:w="5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9"/>
        <w:gridCol w:w="700"/>
        <w:gridCol w:w="1644"/>
        <w:gridCol w:w="1046"/>
        <w:gridCol w:w="2240"/>
        <w:gridCol w:w="8"/>
        <w:gridCol w:w="797"/>
        <w:gridCol w:w="913"/>
        <w:gridCol w:w="1477"/>
        <w:gridCol w:w="1427"/>
        <w:gridCol w:w="1540"/>
      </w:tblGrid>
      <w:tr w14:paraId="2ACD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noWrap w:val="0"/>
            <w:vAlign w:val="center"/>
          </w:tcPr>
          <w:p w14:paraId="582ED91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渔港名称</w:t>
            </w:r>
          </w:p>
        </w:tc>
        <w:tc>
          <w:tcPr>
            <w:tcW w:w="4496" w:type="pct"/>
            <w:gridSpan w:val="10"/>
            <w:noWrap w:val="0"/>
            <w:vAlign w:val="center"/>
          </w:tcPr>
          <w:p w14:paraId="486A695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广东省XX市XX县</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市、区</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XX渔港</w:t>
            </w:r>
          </w:p>
        </w:tc>
      </w:tr>
      <w:tr w14:paraId="7716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noWrap w:val="0"/>
            <w:vAlign w:val="center"/>
          </w:tcPr>
          <w:p w14:paraId="42429E1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kern w:val="0"/>
                <w:sz w:val="21"/>
                <w:szCs w:val="21"/>
              </w:rPr>
              <w:t>渔港类别</w:t>
            </w:r>
          </w:p>
        </w:tc>
        <w:tc>
          <w:tcPr>
            <w:tcW w:w="4496" w:type="pct"/>
            <w:gridSpan w:val="10"/>
            <w:noWrap w:val="0"/>
            <w:vAlign w:val="center"/>
          </w:tcPr>
          <w:p w14:paraId="1B6C210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渔业专用港口/综合性港口渔业港区</w:t>
            </w:r>
          </w:p>
        </w:tc>
      </w:tr>
      <w:tr w14:paraId="3CD7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restart"/>
            <w:tcBorders>
              <w:bottom w:val="nil"/>
            </w:tcBorders>
            <w:noWrap w:val="0"/>
            <w:vAlign w:val="center"/>
          </w:tcPr>
          <w:p w14:paraId="7BC4B5D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基本信息</w:t>
            </w:r>
          </w:p>
        </w:tc>
        <w:tc>
          <w:tcPr>
            <w:tcW w:w="894" w:type="pct"/>
            <w:gridSpan w:val="2"/>
            <w:noWrap w:val="0"/>
            <w:vAlign w:val="center"/>
          </w:tcPr>
          <w:p w14:paraId="30BB2AB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所在地</w:t>
            </w:r>
          </w:p>
        </w:tc>
        <w:tc>
          <w:tcPr>
            <w:tcW w:w="1256" w:type="pct"/>
            <w:gridSpan w:val="3"/>
            <w:noWrap w:val="0"/>
            <w:vAlign w:val="center"/>
          </w:tcPr>
          <w:p w14:paraId="0AA9536A">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spacing w:val="0"/>
                <w:kern w:val="0"/>
                <w:sz w:val="21"/>
                <w:szCs w:val="21"/>
              </w:rPr>
            </w:pP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省</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自治区、直辖市</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县</w:t>
            </w:r>
          </w:p>
          <w:p w14:paraId="31750B24">
            <w:pPr>
              <w:adjustRightInd w:val="0"/>
              <w:snapToGrid w:val="0"/>
              <w:spacing w:before="0" w:beforeLines="0" w:afterLines="0" w:line="240" w:lineRule="auto"/>
              <w:ind w:left="0" w:right="0" w:firstLine="0" w:firstLineChars="0"/>
              <w:jc w:val="center"/>
              <w:rPr>
                <w:rFonts w:hint="default" w:ascii="仿宋_GB2312" w:hAnsi="仿宋_GB2312" w:eastAsia="仿宋_GB2312" w:cs="仿宋_GB2312"/>
                <w:color w:val="auto"/>
                <w:kern w:val="0"/>
                <w:sz w:val="21"/>
                <w:szCs w:val="21"/>
              </w:rPr>
            </w:pP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市、区</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镇</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乡、街道</w:t>
            </w:r>
            <w:r>
              <w:rPr>
                <w:rFonts w:hint="default" w:ascii="仿宋_GB2312" w:hAnsi="仿宋_GB2312" w:eastAsia="仿宋_GB2312" w:cs="仿宋_GB2312"/>
                <w:color w:val="auto"/>
                <w:spacing w:val="0"/>
                <w:kern w:val="0"/>
                <w:sz w:val="21"/>
                <w:szCs w:val="21"/>
              </w:rPr>
              <w:t>）</w:t>
            </w:r>
          </w:p>
        </w:tc>
        <w:tc>
          <w:tcPr>
            <w:tcW w:w="1215" w:type="pct"/>
            <w:gridSpan w:val="3"/>
            <w:noWrap w:val="0"/>
            <w:vAlign w:val="center"/>
          </w:tcPr>
          <w:p w14:paraId="1C80D00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渔港位置地理坐标</w:t>
            </w:r>
          </w:p>
        </w:tc>
        <w:tc>
          <w:tcPr>
            <w:tcW w:w="1130" w:type="pct"/>
            <w:gridSpan w:val="2"/>
            <w:noWrap w:val="0"/>
            <w:vAlign w:val="center"/>
          </w:tcPr>
          <w:p w14:paraId="1D6AA20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01F8FC2C">
        <w:tblPrEx>
          <w:tblCellMar>
            <w:top w:w="0" w:type="dxa"/>
            <w:left w:w="0" w:type="dxa"/>
            <w:bottom w:w="0" w:type="dxa"/>
            <w:right w:w="0" w:type="dxa"/>
          </w:tblCellMar>
        </w:tblPrEx>
        <w:trPr>
          <w:trHeight w:val="482" w:hRule="atLeast"/>
          <w:jc w:val="center"/>
        </w:trPr>
        <w:tc>
          <w:tcPr>
            <w:tcW w:w="503" w:type="pct"/>
            <w:vMerge w:val="continue"/>
            <w:tcBorders>
              <w:top w:val="nil"/>
              <w:bottom w:val="nil"/>
            </w:tcBorders>
            <w:noWrap w:val="0"/>
            <w:vAlign w:val="center"/>
          </w:tcPr>
          <w:p w14:paraId="33E77A4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4960EA8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渔港港章</w:t>
            </w:r>
          </w:p>
        </w:tc>
        <w:tc>
          <w:tcPr>
            <w:tcW w:w="1256" w:type="pct"/>
            <w:gridSpan w:val="3"/>
            <w:noWrap w:val="0"/>
            <w:vAlign w:val="center"/>
          </w:tcPr>
          <w:p w14:paraId="2717C692">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XXX</w:t>
            </w:r>
            <w:r>
              <w:rPr>
                <w:rFonts w:hint="eastAsia" w:ascii="仿宋_GB2312" w:hAnsi="仿宋_GB2312" w:eastAsia="仿宋_GB2312" w:cs="仿宋_GB2312"/>
                <w:color w:val="auto"/>
                <w:spacing w:val="0"/>
                <w:kern w:val="0"/>
                <w:sz w:val="21"/>
                <w:szCs w:val="21"/>
              </w:rPr>
              <w:t>渔港港章</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文号</w:t>
            </w:r>
            <w:r>
              <w:rPr>
                <w:rFonts w:hint="default" w:ascii="仿宋_GB2312" w:hAnsi="仿宋_GB2312" w:eastAsia="仿宋_GB2312" w:cs="仿宋_GB2312"/>
                <w:color w:val="auto"/>
                <w:spacing w:val="0"/>
                <w:kern w:val="0"/>
                <w:sz w:val="21"/>
                <w:szCs w:val="21"/>
              </w:rPr>
              <w:t>）</w:t>
            </w:r>
          </w:p>
        </w:tc>
        <w:tc>
          <w:tcPr>
            <w:tcW w:w="1215" w:type="pct"/>
            <w:gridSpan w:val="3"/>
            <w:noWrap w:val="0"/>
            <w:vAlign w:val="center"/>
          </w:tcPr>
          <w:p w14:paraId="317C262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港章发布机构和时间</w:t>
            </w:r>
          </w:p>
        </w:tc>
        <w:tc>
          <w:tcPr>
            <w:tcW w:w="1130" w:type="pct"/>
            <w:gridSpan w:val="2"/>
            <w:noWrap w:val="0"/>
            <w:vAlign w:val="center"/>
          </w:tcPr>
          <w:p w14:paraId="3F134B71">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县</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市、区</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 xml:space="preserve">人民政府 </w:t>
            </w: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年</w:t>
            </w: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月</w:t>
            </w: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日发布</w:t>
            </w:r>
          </w:p>
        </w:tc>
      </w:tr>
      <w:tr w14:paraId="16A7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continue"/>
            <w:tcBorders>
              <w:top w:val="nil"/>
              <w:bottom w:val="nil"/>
            </w:tcBorders>
            <w:noWrap w:val="0"/>
            <w:vAlign w:val="center"/>
          </w:tcPr>
          <w:p w14:paraId="743BD00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3C85C273">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港区总面积</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万m²</w:t>
            </w:r>
            <w:r>
              <w:rPr>
                <w:rFonts w:hint="default" w:ascii="仿宋_GB2312" w:hAnsi="仿宋_GB2312" w:eastAsia="仿宋_GB2312" w:cs="仿宋_GB2312"/>
                <w:color w:val="auto"/>
                <w:spacing w:val="0"/>
                <w:kern w:val="0"/>
                <w:sz w:val="21"/>
                <w:szCs w:val="21"/>
              </w:rPr>
              <w:t>）</w:t>
            </w:r>
          </w:p>
        </w:tc>
        <w:tc>
          <w:tcPr>
            <w:tcW w:w="1256" w:type="pct"/>
            <w:gridSpan w:val="3"/>
            <w:noWrap w:val="0"/>
            <w:vAlign w:val="center"/>
          </w:tcPr>
          <w:p w14:paraId="5A2CBE4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558A4545">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港区渔业岸线总长</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m</w:t>
            </w:r>
            <w:r>
              <w:rPr>
                <w:rFonts w:hint="default" w:ascii="仿宋_GB2312" w:hAnsi="仿宋_GB2312" w:eastAsia="仿宋_GB2312" w:cs="仿宋_GB2312"/>
                <w:color w:val="auto"/>
                <w:spacing w:val="0"/>
                <w:kern w:val="0"/>
                <w:sz w:val="21"/>
                <w:szCs w:val="21"/>
              </w:rPr>
              <w:t>）</w:t>
            </w:r>
          </w:p>
        </w:tc>
        <w:tc>
          <w:tcPr>
            <w:tcW w:w="1130" w:type="pct"/>
            <w:gridSpan w:val="2"/>
            <w:noWrap w:val="0"/>
            <w:vAlign w:val="center"/>
          </w:tcPr>
          <w:p w14:paraId="683DC42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319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continue"/>
            <w:tcBorders>
              <w:top w:val="nil"/>
              <w:bottom w:val="nil"/>
            </w:tcBorders>
            <w:noWrap w:val="0"/>
            <w:vAlign w:val="center"/>
          </w:tcPr>
          <w:p w14:paraId="58DC043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3CA81DCE">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陆域面积</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万m²</w:t>
            </w:r>
            <w:r>
              <w:rPr>
                <w:rFonts w:hint="default" w:ascii="仿宋_GB2312" w:hAnsi="仿宋_GB2312" w:eastAsia="仿宋_GB2312" w:cs="仿宋_GB2312"/>
                <w:color w:val="auto"/>
                <w:spacing w:val="0"/>
                <w:kern w:val="0"/>
                <w:sz w:val="21"/>
                <w:szCs w:val="21"/>
              </w:rPr>
              <w:t>）</w:t>
            </w:r>
          </w:p>
        </w:tc>
        <w:tc>
          <w:tcPr>
            <w:tcW w:w="1256" w:type="pct"/>
            <w:gridSpan w:val="3"/>
            <w:noWrap w:val="0"/>
            <w:vAlign w:val="center"/>
          </w:tcPr>
          <w:p w14:paraId="51D1562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452C31F3">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码头长度</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m</w:t>
            </w:r>
            <w:r>
              <w:rPr>
                <w:rFonts w:hint="default" w:ascii="仿宋_GB2312" w:hAnsi="仿宋_GB2312" w:eastAsia="仿宋_GB2312" w:cs="仿宋_GB2312"/>
                <w:color w:val="auto"/>
                <w:spacing w:val="0"/>
                <w:kern w:val="0"/>
                <w:sz w:val="21"/>
                <w:szCs w:val="21"/>
              </w:rPr>
              <w:t>）</w:t>
            </w:r>
          </w:p>
        </w:tc>
        <w:tc>
          <w:tcPr>
            <w:tcW w:w="1130" w:type="pct"/>
            <w:gridSpan w:val="2"/>
            <w:noWrap w:val="0"/>
            <w:vAlign w:val="center"/>
          </w:tcPr>
          <w:p w14:paraId="277937F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A1F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continue"/>
            <w:tcBorders>
              <w:top w:val="nil"/>
              <w:bottom w:val="nil"/>
            </w:tcBorders>
            <w:noWrap w:val="0"/>
            <w:vAlign w:val="center"/>
          </w:tcPr>
          <w:p w14:paraId="03126CE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2874870E">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水域面积</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万m²</w:t>
            </w:r>
            <w:r>
              <w:rPr>
                <w:rFonts w:hint="default" w:ascii="仿宋_GB2312" w:hAnsi="仿宋_GB2312" w:eastAsia="仿宋_GB2312" w:cs="仿宋_GB2312"/>
                <w:color w:val="auto"/>
                <w:spacing w:val="0"/>
                <w:kern w:val="0"/>
                <w:sz w:val="21"/>
                <w:szCs w:val="21"/>
              </w:rPr>
              <w:t>）</w:t>
            </w:r>
          </w:p>
        </w:tc>
        <w:tc>
          <w:tcPr>
            <w:tcW w:w="1256" w:type="pct"/>
            <w:gridSpan w:val="3"/>
            <w:noWrap w:val="0"/>
            <w:vAlign w:val="center"/>
          </w:tcPr>
          <w:p w14:paraId="1606CAC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18C546B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可靠泊渔船能力</w:t>
            </w:r>
          </w:p>
        </w:tc>
        <w:tc>
          <w:tcPr>
            <w:tcW w:w="1130" w:type="pct"/>
            <w:gridSpan w:val="2"/>
            <w:noWrap w:val="0"/>
            <w:vAlign w:val="center"/>
          </w:tcPr>
          <w:p w14:paraId="574C045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29BA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continue"/>
            <w:tcBorders>
              <w:top w:val="nil"/>
            </w:tcBorders>
            <w:noWrap w:val="0"/>
            <w:vAlign w:val="center"/>
          </w:tcPr>
          <w:p w14:paraId="296D6DD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13BEF18F">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渔获物年卸港量</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万吨</w:t>
            </w:r>
            <w:r>
              <w:rPr>
                <w:rFonts w:hint="default" w:ascii="仿宋_GB2312" w:hAnsi="仿宋_GB2312" w:eastAsia="仿宋_GB2312" w:cs="仿宋_GB2312"/>
                <w:color w:val="auto"/>
                <w:spacing w:val="0"/>
                <w:kern w:val="0"/>
                <w:sz w:val="21"/>
                <w:szCs w:val="21"/>
              </w:rPr>
              <w:t>）</w:t>
            </w:r>
          </w:p>
        </w:tc>
        <w:tc>
          <w:tcPr>
            <w:tcW w:w="1256" w:type="pct"/>
            <w:gridSpan w:val="3"/>
            <w:noWrap w:val="0"/>
            <w:vAlign w:val="center"/>
          </w:tcPr>
          <w:p w14:paraId="0A61035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31257D3E">
            <w:pPr>
              <w:adjustRightInd w:val="0"/>
              <w:snapToGrid w:val="0"/>
              <w:spacing w:before="0" w:beforeLines="0" w:afterLines="0" w:line="240" w:lineRule="auto"/>
              <w:ind w:left="0" w:firstLine="0" w:firstLineChars="0"/>
              <w:jc w:val="center"/>
              <w:rPr>
                <w:rFonts w:hint="default"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可容纳锚泊渔船数量</w:t>
            </w:r>
            <w:r>
              <w:rPr>
                <w:rFonts w:hint="default" w:ascii="仿宋_GB2312" w:hAnsi="仿宋_GB2312" w:eastAsia="仿宋_GB2312" w:cs="仿宋_GB2312"/>
                <w:color w:val="auto"/>
                <w:spacing w:val="0"/>
                <w:kern w:val="0"/>
                <w:sz w:val="21"/>
                <w:szCs w:val="21"/>
              </w:rPr>
              <w:t>（</w:t>
            </w:r>
            <w:r>
              <w:rPr>
                <w:rFonts w:hint="eastAsia" w:ascii="仿宋_GB2312" w:hAnsi="仿宋_GB2312" w:eastAsia="仿宋_GB2312" w:cs="仿宋_GB2312"/>
                <w:color w:val="auto"/>
                <w:spacing w:val="0"/>
                <w:kern w:val="0"/>
                <w:sz w:val="21"/>
                <w:szCs w:val="21"/>
              </w:rPr>
              <w:t>艘</w:t>
            </w:r>
            <w:r>
              <w:rPr>
                <w:rFonts w:hint="default" w:ascii="仿宋_GB2312" w:hAnsi="仿宋_GB2312" w:eastAsia="仿宋_GB2312" w:cs="仿宋_GB2312"/>
                <w:color w:val="auto"/>
                <w:spacing w:val="0"/>
                <w:kern w:val="0"/>
                <w:sz w:val="21"/>
                <w:szCs w:val="21"/>
              </w:rPr>
              <w:t>）</w:t>
            </w:r>
          </w:p>
        </w:tc>
        <w:tc>
          <w:tcPr>
            <w:tcW w:w="1130" w:type="pct"/>
            <w:gridSpan w:val="2"/>
            <w:noWrap w:val="0"/>
            <w:vAlign w:val="center"/>
          </w:tcPr>
          <w:p w14:paraId="1BD6D64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3B87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restart"/>
            <w:tcBorders>
              <w:bottom w:val="nil"/>
            </w:tcBorders>
            <w:noWrap w:val="0"/>
            <w:vAlign w:val="center"/>
          </w:tcPr>
          <w:p w14:paraId="26752490">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渔港行政管理机构</w:t>
            </w:r>
          </w:p>
        </w:tc>
        <w:tc>
          <w:tcPr>
            <w:tcW w:w="894" w:type="pct"/>
            <w:gridSpan w:val="2"/>
            <w:noWrap w:val="0"/>
            <w:vAlign w:val="center"/>
          </w:tcPr>
          <w:p w14:paraId="6C0E74A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名称</w:t>
            </w:r>
          </w:p>
        </w:tc>
        <w:tc>
          <w:tcPr>
            <w:tcW w:w="1256" w:type="pct"/>
            <w:gridSpan w:val="3"/>
            <w:noWrap w:val="0"/>
            <w:vAlign w:val="center"/>
          </w:tcPr>
          <w:p w14:paraId="1C4B8E9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7809A4F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负责人</w:t>
            </w:r>
          </w:p>
        </w:tc>
        <w:tc>
          <w:tcPr>
            <w:tcW w:w="1130" w:type="pct"/>
            <w:gridSpan w:val="2"/>
            <w:noWrap w:val="0"/>
            <w:vAlign w:val="center"/>
          </w:tcPr>
          <w:p w14:paraId="627B834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A08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continue"/>
            <w:tcBorders>
              <w:top w:val="nil"/>
            </w:tcBorders>
            <w:noWrap w:val="0"/>
            <w:vAlign w:val="center"/>
          </w:tcPr>
          <w:p w14:paraId="334ECB5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560EB74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地址</w:t>
            </w:r>
          </w:p>
        </w:tc>
        <w:tc>
          <w:tcPr>
            <w:tcW w:w="1256" w:type="pct"/>
            <w:gridSpan w:val="3"/>
            <w:noWrap w:val="0"/>
            <w:vAlign w:val="center"/>
          </w:tcPr>
          <w:p w14:paraId="2E5E1E3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067D98C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联系电话</w:t>
            </w:r>
          </w:p>
        </w:tc>
        <w:tc>
          <w:tcPr>
            <w:tcW w:w="1130" w:type="pct"/>
            <w:gridSpan w:val="2"/>
            <w:noWrap w:val="0"/>
            <w:vAlign w:val="center"/>
          </w:tcPr>
          <w:p w14:paraId="58E9D55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4627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restart"/>
            <w:tcBorders>
              <w:bottom w:val="nil"/>
            </w:tcBorders>
            <w:noWrap w:val="0"/>
            <w:vAlign w:val="center"/>
          </w:tcPr>
          <w:p w14:paraId="62B490C4">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b w:val="0"/>
                <w:bCs w:val="0"/>
                <w:color w:val="auto"/>
                <w:spacing w:val="0"/>
                <w:kern w:val="0"/>
                <w:sz w:val="21"/>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-662305</wp:posOffset>
                      </wp:positionH>
                      <wp:positionV relativeFrom="paragraph">
                        <wp:posOffset>148590</wp:posOffset>
                      </wp:positionV>
                      <wp:extent cx="609600" cy="8839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609600" cy="883920"/>
                              </a:xfrm>
                              <a:prstGeom prst="rect">
                                <a:avLst/>
                              </a:prstGeom>
                              <a:noFill/>
                              <a:ln w="15875">
                                <a:noFill/>
                              </a:ln>
                            </wps:spPr>
                            <wps:txbx>
                              <w:txbxContent>
                                <w:p w14:paraId="31042FE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25 —</w:t>
                                  </w:r>
                                </w:p>
                              </w:txbxContent>
                            </wps:txbx>
                            <wps:bodyPr vert="eaVert" wrap="square" anchor="t" anchorCtr="0" upright="1"/>
                          </wps:wsp>
                        </a:graphicData>
                      </a:graphic>
                    </wp:anchor>
                  </w:drawing>
                </mc:Choice>
                <mc:Fallback>
                  <w:pict>
                    <v:shape id="文本框 6" o:spid="_x0000_s1026" o:spt="202" type="#_x0000_t202" style="position:absolute;left:0pt;margin-left:-52.15pt;margin-top:11.7pt;height:69.6pt;width:48pt;z-index:251659264;mso-width-relative:page;mso-height-relative:page;" filled="f" stroked="f" coordsize="21600,21600" o:gfxdata="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teYL9oAAAAKAQAADwAAAAAAAAABACAA&#10;AAAiAAAAZHJzL2Rvd25yZXYueG1sUEsBAhQAFAAAAAgAh07iQOlDYwHSAQAAjAMAAA4AAAAAAAAA&#10;AQAgAAAAKQEAAGRycy9lMm9Eb2MueG1sUEsFBgAAAAAGAAYAWQEAAG0FAAAAAA==&#10;">
                      <v:fill on="f" focussize="0,0"/>
                      <v:stroke on="f" weight="1.25pt"/>
                      <v:imagedata o:title=""/>
                      <o:lock v:ext="edit" aspectratio="f"/>
                      <v:textbox style="layout-flow:vertical-ideographic;">
                        <w:txbxContent>
                          <w:p w14:paraId="31042FE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25 —</w:t>
                            </w:r>
                          </w:p>
                        </w:txbxContent>
                      </v:textbox>
                    </v:shape>
                  </w:pict>
                </mc:Fallback>
              </mc:AlternateContent>
            </w:r>
          </w:p>
          <w:p w14:paraId="77AE569C">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渔港监督管理机构</w:t>
            </w:r>
          </w:p>
        </w:tc>
        <w:tc>
          <w:tcPr>
            <w:tcW w:w="894" w:type="pct"/>
            <w:gridSpan w:val="2"/>
            <w:noWrap w:val="0"/>
            <w:vAlign w:val="center"/>
          </w:tcPr>
          <w:p w14:paraId="2C5B631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名称</w:t>
            </w:r>
          </w:p>
        </w:tc>
        <w:tc>
          <w:tcPr>
            <w:tcW w:w="1256" w:type="pct"/>
            <w:gridSpan w:val="3"/>
            <w:noWrap w:val="0"/>
            <w:vAlign w:val="center"/>
          </w:tcPr>
          <w:p w14:paraId="3586FF2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72A3930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负责人</w:t>
            </w:r>
          </w:p>
        </w:tc>
        <w:tc>
          <w:tcPr>
            <w:tcW w:w="1130" w:type="pct"/>
            <w:gridSpan w:val="2"/>
            <w:noWrap w:val="0"/>
            <w:vAlign w:val="center"/>
          </w:tcPr>
          <w:p w14:paraId="6F212D1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5330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503" w:type="pct"/>
            <w:vMerge w:val="continue"/>
            <w:tcBorders>
              <w:top w:val="nil"/>
            </w:tcBorders>
            <w:noWrap w:val="0"/>
            <w:vAlign w:val="center"/>
          </w:tcPr>
          <w:p w14:paraId="4F2923E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3CD6E32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地址</w:t>
            </w:r>
          </w:p>
        </w:tc>
        <w:tc>
          <w:tcPr>
            <w:tcW w:w="1256" w:type="pct"/>
            <w:gridSpan w:val="3"/>
            <w:noWrap w:val="0"/>
            <w:vAlign w:val="center"/>
          </w:tcPr>
          <w:p w14:paraId="10A1DF3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629B776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联系电话</w:t>
            </w:r>
          </w:p>
        </w:tc>
        <w:tc>
          <w:tcPr>
            <w:tcW w:w="1130" w:type="pct"/>
            <w:gridSpan w:val="2"/>
            <w:noWrap w:val="0"/>
            <w:vAlign w:val="center"/>
          </w:tcPr>
          <w:p w14:paraId="4AAA35C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r>
              <w:rPr>
                <w:sz w:val="21"/>
              </w:rPr>
              <mc:AlternateContent>
                <mc:Choice Requires="wps">
                  <w:drawing>
                    <wp:anchor distT="0" distB="0" distL="114300" distR="114300" simplePos="0" relativeHeight="251662336" behindDoc="0" locked="0" layoutInCell="1" allowOverlap="1">
                      <wp:simplePos x="0" y="0"/>
                      <wp:positionH relativeFrom="column">
                        <wp:posOffset>1089660</wp:posOffset>
                      </wp:positionH>
                      <wp:positionV relativeFrom="paragraph">
                        <wp:posOffset>436880</wp:posOffset>
                      </wp:positionV>
                      <wp:extent cx="861060" cy="297180"/>
                      <wp:effectExtent l="0" t="0" r="15240" b="7620"/>
                      <wp:wrapNone/>
                      <wp:docPr id="4" name="文本框 14"/>
                      <wp:cNvGraphicFramePr/>
                      <a:graphic xmlns:a="http://schemas.openxmlformats.org/drawingml/2006/main">
                        <a:graphicData uri="http://schemas.microsoft.com/office/word/2010/wordprocessingShape">
                          <wps:wsp>
                            <wps:cNvSpPr txBox="1"/>
                            <wps:spPr>
                              <a:xfrm>
                                <a:off x="0" y="0"/>
                                <a:ext cx="861060" cy="297180"/>
                              </a:xfrm>
                              <a:prstGeom prst="rect">
                                <a:avLst/>
                              </a:prstGeom>
                              <a:solidFill>
                                <a:srgbClr val="FFFFFF"/>
                              </a:solidFill>
                              <a:ln w="15875">
                                <a:noFill/>
                              </a:ln>
                            </wps:spPr>
                            <wps:txbx>
                              <w:txbxContent>
                                <w:p w14:paraId="2D1FE228"/>
                              </w:txbxContent>
                            </wps:txbx>
                            <wps:bodyPr vert="horz" wrap="square" anchor="t" anchorCtr="0" upright="1"/>
                          </wps:wsp>
                        </a:graphicData>
                      </a:graphic>
                    </wp:anchor>
                  </w:drawing>
                </mc:Choice>
                <mc:Fallback>
                  <w:pict>
                    <v:shape id="文本框 14" o:spid="_x0000_s1026" o:spt="202" type="#_x0000_t202" style="position:absolute;left:0pt;margin-left:85.8pt;margin-top:34.4pt;height:23.4pt;width:67.8pt;z-index:251662336;mso-width-relative:page;mso-height-relative:page;" fillcolor="#FFFFFF" filled="t" stroked="f" coordsize="21600,21600" o:gfxdata="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MuheLX&#10;AAAACgEAAA8AAAAAAAAAAQAgAAAAIgAAAGRycy9kb3ducmV2LnhtbFBLAQIUABQAAAAIAIdO4kAS&#10;8Euo6AEAALQDAAAOAAAAAAAAAAEAIAAAACYBAABkcnMvZTJvRG9jLnhtbFBLBQYAAAAABgAGAFkB&#10;AACABQAAAAA=&#10;">
                      <v:fill on="t" focussize="0,0"/>
                      <v:stroke on="f" weight="1.25pt"/>
                      <v:imagedata o:title=""/>
                      <o:lock v:ext="edit" aspectratio="f"/>
                      <v:textbox>
                        <w:txbxContent>
                          <w:p w14:paraId="2D1FE228"/>
                        </w:txbxContent>
                      </v:textbox>
                    </v:shape>
                  </w:pict>
                </mc:Fallback>
              </mc:AlternateContent>
            </w:r>
          </w:p>
        </w:tc>
      </w:tr>
      <w:tr w14:paraId="71B9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restart"/>
            <w:tcBorders>
              <w:bottom w:val="nil"/>
            </w:tcBorders>
            <w:noWrap w:val="0"/>
            <w:vAlign w:val="center"/>
          </w:tcPr>
          <w:p w14:paraId="2E2DF76D">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b w:val="0"/>
                <w:bCs w:val="0"/>
                <w:color w:val="auto"/>
                <w:spacing w:val="0"/>
                <w:kern w:val="0"/>
                <w:sz w:val="21"/>
                <w:szCs w:val="21"/>
              </w:rPr>
            </w:pPr>
            <w:r>
              <w:rPr>
                <w:sz w:val="21"/>
              </w:rPr>
              <mc:AlternateContent>
                <mc:Choice Requires="wps">
                  <w:drawing>
                    <wp:anchor distT="0" distB="0" distL="114300" distR="114300" simplePos="0" relativeHeight="251660288" behindDoc="0" locked="0" layoutInCell="1" allowOverlap="1">
                      <wp:simplePos x="0" y="0"/>
                      <wp:positionH relativeFrom="column">
                        <wp:posOffset>-586105</wp:posOffset>
                      </wp:positionH>
                      <wp:positionV relativeFrom="paragraph">
                        <wp:posOffset>-32385</wp:posOffset>
                      </wp:positionV>
                      <wp:extent cx="609600" cy="88392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609600" cy="883920"/>
                              </a:xfrm>
                              <a:prstGeom prst="rect">
                                <a:avLst/>
                              </a:prstGeom>
                              <a:noFill/>
                              <a:ln w="15875">
                                <a:noFill/>
                              </a:ln>
                            </wps:spPr>
                            <wps:txbx>
                              <w:txbxContent>
                                <w:p w14:paraId="6749D52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26 —</w:t>
                                  </w:r>
                                </w:p>
                              </w:txbxContent>
                            </wps:txbx>
                            <wps:bodyPr vert="eaVert" wrap="square" upright="1"/>
                          </wps:wsp>
                        </a:graphicData>
                      </a:graphic>
                    </wp:anchor>
                  </w:drawing>
                </mc:Choice>
                <mc:Fallback>
                  <w:pict>
                    <v:shape id="文本框 12" o:spid="_x0000_s1026" o:spt="202" type="#_x0000_t202" style="position:absolute;left:0pt;margin-left:-46.15pt;margin-top:-2.55pt;height:69.6pt;width:48pt;z-index:251660288;mso-width-relative:page;mso-height-relative:page;" filled="f" stroked="f" coordsize="21600,21600" o:gfxdata="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lXt9h2gAAAAgBAAAPAAAAAAAAAAEAIAAAACIAAABkcnMv&#10;ZG93bnJldi54bWxQSwECFAAUAAAACACHTuJAWwJN1sgBAAB0AwAADgAAAAAAAAABACAAAAApAQAA&#10;ZHJzL2Uyb0RvYy54bWxQSwUGAAAAAAYABgBZAQAAYwUAAAAA&#10;">
                      <v:fill on="f" focussize="0,0"/>
                      <v:stroke on="f" weight="1.25pt"/>
                      <v:imagedata o:title=""/>
                      <o:lock v:ext="edit" aspectratio="f"/>
                      <v:textbox style="layout-flow:vertical-ideographic;">
                        <w:txbxContent>
                          <w:p w14:paraId="6749D52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26 —</w:t>
                            </w:r>
                          </w:p>
                        </w:txbxContent>
                      </v:textbox>
                    </v:shape>
                  </w:pict>
                </mc:Fallback>
              </mc:AlternateContent>
            </w:r>
          </w:p>
          <w:p w14:paraId="55E5A893">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渔港执法管理机构</w:t>
            </w:r>
          </w:p>
        </w:tc>
        <w:tc>
          <w:tcPr>
            <w:tcW w:w="894" w:type="pct"/>
            <w:gridSpan w:val="2"/>
            <w:noWrap w:val="0"/>
            <w:vAlign w:val="center"/>
          </w:tcPr>
          <w:p w14:paraId="16C8631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名称</w:t>
            </w:r>
          </w:p>
        </w:tc>
        <w:tc>
          <w:tcPr>
            <w:tcW w:w="1256" w:type="pct"/>
            <w:gridSpan w:val="3"/>
            <w:noWrap w:val="0"/>
            <w:vAlign w:val="center"/>
          </w:tcPr>
          <w:p w14:paraId="7257B15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619B88D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负责人</w:t>
            </w:r>
          </w:p>
        </w:tc>
        <w:tc>
          <w:tcPr>
            <w:tcW w:w="1130" w:type="pct"/>
            <w:gridSpan w:val="2"/>
            <w:noWrap w:val="0"/>
            <w:vAlign w:val="center"/>
          </w:tcPr>
          <w:p w14:paraId="2F42936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A32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tcBorders>
            <w:noWrap w:val="0"/>
            <w:vAlign w:val="center"/>
          </w:tcPr>
          <w:p w14:paraId="6C64F23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66FECDC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地址</w:t>
            </w:r>
          </w:p>
        </w:tc>
        <w:tc>
          <w:tcPr>
            <w:tcW w:w="1256" w:type="pct"/>
            <w:gridSpan w:val="3"/>
            <w:noWrap w:val="0"/>
            <w:vAlign w:val="center"/>
          </w:tcPr>
          <w:p w14:paraId="7BE0E6F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72C9F11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联系电话</w:t>
            </w:r>
          </w:p>
        </w:tc>
        <w:tc>
          <w:tcPr>
            <w:tcW w:w="1130" w:type="pct"/>
            <w:gridSpan w:val="2"/>
            <w:noWrap w:val="0"/>
            <w:vAlign w:val="center"/>
          </w:tcPr>
          <w:p w14:paraId="74C3E4D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2E2D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restart"/>
            <w:tcBorders>
              <w:bottom w:val="nil"/>
            </w:tcBorders>
            <w:noWrap w:val="0"/>
            <w:vAlign w:val="center"/>
          </w:tcPr>
          <w:p w14:paraId="5E1B900B">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渔港港务管理机构</w:t>
            </w:r>
          </w:p>
        </w:tc>
        <w:tc>
          <w:tcPr>
            <w:tcW w:w="894" w:type="pct"/>
            <w:gridSpan w:val="2"/>
            <w:noWrap w:val="0"/>
            <w:vAlign w:val="center"/>
          </w:tcPr>
          <w:p w14:paraId="21EE254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名称</w:t>
            </w:r>
          </w:p>
        </w:tc>
        <w:tc>
          <w:tcPr>
            <w:tcW w:w="1256" w:type="pct"/>
            <w:gridSpan w:val="3"/>
            <w:noWrap w:val="0"/>
            <w:vAlign w:val="center"/>
          </w:tcPr>
          <w:p w14:paraId="6C5FD22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59F6967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负责人</w:t>
            </w:r>
          </w:p>
        </w:tc>
        <w:tc>
          <w:tcPr>
            <w:tcW w:w="1130" w:type="pct"/>
            <w:gridSpan w:val="2"/>
            <w:noWrap w:val="0"/>
            <w:vAlign w:val="center"/>
          </w:tcPr>
          <w:p w14:paraId="17094B4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7676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tcBorders>
            <w:noWrap w:val="0"/>
            <w:vAlign w:val="center"/>
          </w:tcPr>
          <w:p w14:paraId="7493EFF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355F330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地址</w:t>
            </w:r>
          </w:p>
        </w:tc>
        <w:tc>
          <w:tcPr>
            <w:tcW w:w="1256" w:type="pct"/>
            <w:gridSpan w:val="3"/>
            <w:noWrap w:val="0"/>
            <w:vAlign w:val="center"/>
          </w:tcPr>
          <w:p w14:paraId="5143FF5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5" w:type="pct"/>
            <w:gridSpan w:val="3"/>
            <w:noWrap w:val="0"/>
            <w:vAlign w:val="center"/>
          </w:tcPr>
          <w:p w14:paraId="6D08D53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联系电话</w:t>
            </w:r>
          </w:p>
        </w:tc>
        <w:tc>
          <w:tcPr>
            <w:tcW w:w="1130" w:type="pct"/>
            <w:gridSpan w:val="2"/>
            <w:noWrap w:val="0"/>
            <w:vAlign w:val="center"/>
          </w:tcPr>
          <w:p w14:paraId="2101F30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5F3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restart"/>
            <w:tcBorders>
              <w:bottom w:val="nil"/>
            </w:tcBorders>
            <w:noWrap w:val="0"/>
            <w:vAlign w:val="center"/>
          </w:tcPr>
          <w:p w14:paraId="1B40AA8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渔港经营</w:t>
            </w:r>
          </w:p>
          <w:p w14:paraId="5CF9C66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机构</w:t>
            </w:r>
          </w:p>
        </w:tc>
        <w:tc>
          <w:tcPr>
            <w:tcW w:w="894" w:type="pct"/>
            <w:gridSpan w:val="2"/>
            <w:noWrap w:val="0"/>
            <w:vAlign w:val="center"/>
          </w:tcPr>
          <w:p w14:paraId="7B351A6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名称</w:t>
            </w:r>
          </w:p>
        </w:tc>
        <w:tc>
          <w:tcPr>
            <w:tcW w:w="1253" w:type="pct"/>
            <w:gridSpan w:val="2"/>
            <w:noWrap w:val="0"/>
            <w:vAlign w:val="center"/>
          </w:tcPr>
          <w:p w14:paraId="0A1629D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8" w:type="pct"/>
            <w:gridSpan w:val="4"/>
            <w:noWrap w:val="0"/>
            <w:vAlign w:val="center"/>
          </w:tcPr>
          <w:p w14:paraId="2EA95CD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负责人</w:t>
            </w:r>
          </w:p>
        </w:tc>
        <w:tc>
          <w:tcPr>
            <w:tcW w:w="1130" w:type="pct"/>
            <w:gridSpan w:val="2"/>
            <w:noWrap w:val="0"/>
            <w:vAlign w:val="center"/>
          </w:tcPr>
          <w:p w14:paraId="5242B4D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3E17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tcBorders>
            <w:noWrap w:val="0"/>
            <w:vAlign w:val="center"/>
          </w:tcPr>
          <w:p w14:paraId="63BB90D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94" w:type="pct"/>
            <w:gridSpan w:val="2"/>
            <w:noWrap w:val="0"/>
            <w:vAlign w:val="center"/>
          </w:tcPr>
          <w:p w14:paraId="1801729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地址</w:t>
            </w:r>
          </w:p>
        </w:tc>
        <w:tc>
          <w:tcPr>
            <w:tcW w:w="1253" w:type="pct"/>
            <w:gridSpan w:val="2"/>
            <w:noWrap w:val="0"/>
            <w:vAlign w:val="center"/>
          </w:tcPr>
          <w:p w14:paraId="3F6ED04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1218" w:type="pct"/>
            <w:gridSpan w:val="4"/>
            <w:noWrap w:val="0"/>
            <w:vAlign w:val="center"/>
          </w:tcPr>
          <w:p w14:paraId="7D78E64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联系电话</w:t>
            </w:r>
          </w:p>
        </w:tc>
        <w:tc>
          <w:tcPr>
            <w:tcW w:w="1130" w:type="pct"/>
            <w:gridSpan w:val="2"/>
            <w:noWrap w:val="0"/>
            <w:vAlign w:val="center"/>
          </w:tcPr>
          <w:p w14:paraId="7732FE9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E09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restart"/>
            <w:tcBorders>
              <w:bottom w:val="nil"/>
            </w:tcBorders>
            <w:noWrap w:val="0"/>
            <w:vAlign w:val="center"/>
          </w:tcPr>
          <w:p w14:paraId="6F6AA723">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7F976CF2">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0B39CA28">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3E973AFB">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01A0BCB5">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0FE437FD">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39D8A431">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2EBC08CA">
            <w:pPr>
              <w:adjustRightInd w:val="0"/>
              <w:snapToGrid w:val="0"/>
              <w:spacing w:before="0" w:beforeLines="0" w:afterLines="0" w:line="240" w:lineRule="auto"/>
              <w:ind w:left="0" w:firstLine="0" w:firstLineChars="0"/>
              <w:jc w:val="center"/>
              <w:rPr>
                <w:rFonts w:hint="eastAsia" w:ascii="仿宋_GB2312" w:hAnsi="仿宋_GB2312" w:eastAsia="仿宋_GB2312" w:cs="仿宋_GB2312"/>
                <w:b w:val="0"/>
                <w:bCs w:val="0"/>
                <w:color w:val="auto"/>
                <w:spacing w:val="0"/>
                <w:kern w:val="0"/>
                <w:sz w:val="21"/>
                <w:szCs w:val="21"/>
              </w:rPr>
            </w:pPr>
          </w:p>
          <w:p w14:paraId="3F769DE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sz w:val="21"/>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1950085</wp:posOffset>
                      </wp:positionV>
                      <wp:extent cx="861060" cy="297180"/>
                      <wp:effectExtent l="0" t="0" r="15240" b="7620"/>
                      <wp:wrapNone/>
                      <wp:docPr id="5" name="文本框 15"/>
                      <wp:cNvGraphicFramePr/>
                      <a:graphic xmlns:a="http://schemas.openxmlformats.org/drawingml/2006/main">
                        <a:graphicData uri="http://schemas.microsoft.com/office/word/2010/wordprocessingShape">
                          <wps:wsp>
                            <wps:cNvSpPr txBox="1"/>
                            <wps:spPr>
                              <a:xfrm>
                                <a:off x="0" y="0"/>
                                <a:ext cx="861060" cy="297180"/>
                              </a:xfrm>
                              <a:prstGeom prst="rect">
                                <a:avLst/>
                              </a:prstGeom>
                              <a:solidFill>
                                <a:srgbClr val="FFFFFF"/>
                              </a:solidFill>
                              <a:ln w="15875">
                                <a:noFill/>
                              </a:ln>
                            </wps:spPr>
                            <wps:txbx>
                              <w:txbxContent>
                                <w:p w14:paraId="51E9FB0B"/>
                              </w:txbxContent>
                            </wps:txbx>
                            <wps:bodyPr wrap="square" upright="1"/>
                          </wps:wsp>
                        </a:graphicData>
                      </a:graphic>
                    </wp:anchor>
                  </w:drawing>
                </mc:Choice>
                <mc:Fallback>
                  <w:pict>
                    <v:shape id="文本框 15" o:spid="_x0000_s1026" o:spt="202" type="#_x0000_t202" style="position:absolute;left:0pt;margin-left:-5.35pt;margin-top:153.55pt;height:23.4pt;width:67.8pt;z-index:251663360;mso-width-relative:page;mso-height-relative:page;" fillcolor="#FFFFFF" filled="t" stroked="f" coordsize="21600,21600" o:gfxdata="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8xeBL2gAAAAsBAAAPAAAAAAAAAAEA&#10;IAAAACIAAABkcnMvZG93bnJldi54bWxQSwECFAAUAAAACACHTuJAmTNZ7NQBAACPAwAADgAAAAAA&#10;AAABACAAAAApAQAAZHJzL2Uyb0RvYy54bWxQSwUGAAAAAAYABgBZAQAAbwUAAAAA&#10;">
                      <v:fill on="t" focussize="0,0"/>
                      <v:stroke on="f" weight="1.25pt"/>
                      <v:imagedata o:title=""/>
                      <o:lock v:ext="edit" aspectratio="f"/>
                      <v:textbox>
                        <w:txbxContent>
                          <w:p w14:paraId="51E9FB0B"/>
                        </w:txbxContent>
                      </v:textbox>
                    </v:shape>
                  </w:pict>
                </mc:Fallback>
              </mc:AlternateContent>
            </w:r>
            <w:r>
              <w:rPr>
                <w:rFonts w:hint="eastAsia" w:ascii="仿宋_GB2312" w:hAnsi="仿宋_GB2312" w:eastAsia="仿宋_GB2312" w:cs="仿宋_GB2312"/>
                <w:b w:val="0"/>
                <w:bCs w:val="0"/>
                <w:color w:val="auto"/>
                <w:spacing w:val="0"/>
                <w:kern w:val="0"/>
                <w:sz w:val="21"/>
                <w:szCs w:val="21"/>
              </w:rPr>
              <w:t>公益设施</w:t>
            </w:r>
          </w:p>
        </w:tc>
        <w:tc>
          <w:tcPr>
            <w:tcW w:w="267" w:type="pct"/>
            <w:noWrap w:val="0"/>
            <w:vAlign w:val="center"/>
          </w:tcPr>
          <w:p w14:paraId="220123D1">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color w:val="auto"/>
                <w:spacing w:val="0"/>
                <w:kern w:val="0"/>
                <w:sz w:val="21"/>
                <w:szCs w:val="21"/>
              </w:rPr>
              <w:t>序号</w:t>
            </w:r>
          </w:p>
        </w:tc>
        <w:tc>
          <w:tcPr>
            <w:tcW w:w="626" w:type="pct"/>
            <w:noWrap w:val="0"/>
            <w:vAlign w:val="center"/>
          </w:tcPr>
          <w:p w14:paraId="4F92BD3C">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kern w:val="0"/>
                <w:sz w:val="21"/>
                <w:szCs w:val="21"/>
              </w:rPr>
              <w:t>功能类别</w:t>
            </w:r>
          </w:p>
        </w:tc>
        <w:tc>
          <w:tcPr>
            <w:tcW w:w="399" w:type="pct"/>
            <w:noWrap w:val="0"/>
            <w:vAlign w:val="center"/>
          </w:tcPr>
          <w:p w14:paraId="6C28DAF5">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权属名称</w:t>
            </w:r>
          </w:p>
        </w:tc>
        <w:tc>
          <w:tcPr>
            <w:tcW w:w="853" w:type="pct"/>
            <w:noWrap w:val="0"/>
            <w:vAlign w:val="center"/>
          </w:tcPr>
          <w:p w14:paraId="2B19A679">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具体项目示例</w:t>
            </w:r>
          </w:p>
        </w:tc>
        <w:tc>
          <w:tcPr>
            <w:tcW w:w="307" w:type="pct"/>
            <w:gridSpan w:val="2"/>
            <w:noWrap w:val="0"/>
            <w:vAlign w:val="center"/>
          </w:tcPr>
          <w:p w14:paraId="2A3246BB">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数量</w:t>
            </w:r>
          </w:p>
        </w:tc>
        <w:tc>
          <w:tcPr>
            <w:tcW w:w="348" w:type="pct"/>
            <w:noWrap w:val="0"/>
            <w:vAlign w:val="center"/>
          </w:tcPr>
          <w:p w14:paraId="56186BDA">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单位</w:t>
            </w:r>
          </w:p>
        </w:tc>
        <w:tc>
          <w:tcPr>
            <w:tcW w:w="563" w:type="pct"/>
            <w:noWrap w:val="0"/>
            <w:vAlign w:val="center"/>
          </w:tcPr>
          <w:p w14:paraId="4FE53347">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所有权</w:t>
            </w:r>
          </w:p>
        </w:tc>
        <w:tc>
          <w:tcPr>
            <w:tcW w:w="544" w:type="pct"/>
            <w:noWrap w:val="0"/>
            <w:vAlign w:val="center"/>
          </w:tcPr>
          <w:p w14:paraId="10EBF71A">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管理权</w:t>
            </w:r>
          </w:p>
        </w:tc>
        <w:tc>
          <w:tcPr>
            <w:tcW w:w="586" w:type="pct"/>
            <w:noWrap w:val="0"/>
            <w:vAlign w:val="center"/>
          </w:tcPr>
          <w:p w14:paraId="6EA14142">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color w:val="auto"/>
                <w:spacing w:val="0"/>
                <w:kern w:val="0"/>
                <w:sz w:val="21"/>
                <w:szCs w:val="21"/>
              </w:rPr>
              <w:t>经营权</w:t>
            </w:r>
          </w:p>
        </w:tc>
      </w:tr>
      <w:tr w14:paraId="2EAA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nil"/>
            </w:tcBorders>
            <w:noWrap w:val="0"/>
            <w:vAlign w:val="center"/>
          </w:tcPr>
          <w:p w14:paraId="2D4B828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15DE276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26" w:type="pct"/>
            <w:noWrap w:val="0"/>
            <w:vAlign w:val="center"/>
          </w:tcPr>
          <w:p w14:paraId="411C6CD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码头设施</w:t>
            </w:r>
          </w:p>
        </w:tc>
        <w:tc>
          <w:tcPr>
            <w:tcW w:w="399" w:type="pct"/>
            <w:noWrap w:val="0"/>
            <w:vAlign w:val="center"/>
          </w:tcPr>
          <w:p w14:paraId="16BE343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码头</w:t>
            </w:r>
          </w:p>
        </w:tc>
        <w:tc>
          <w:tcPr>
            <w:tcW w:w="853" w:type="pct"/>
            <w:noWrap w:val="0"/>
            <w:vAlign w:val="center"/>
          </w:tcPr>
          <w:p w14:paraId="5432529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卸鱼码头，</w:t>
            </w: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泊位</w:t>
            </w:r>
          </w:p>
        </w:tc>
        <w:tc>
          <w:tcPr>
            <w:tcW w:w="307" w:type="pct"/>
            <w:gridSpan w:val="2"/>
            <w:noWrap w:val="0"/>
            <w:vAlign w:val="center"/>
          </w:tcPr>
          <w:p w14:paraId="3C80620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4B276BF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300FDBB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245779C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7804E9D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7DCE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nil"/>
            </w:tcBorders>
            <w:noWrap w:val="0"/>
            <w:vAlign w:val="center"/>
          </w:tcPr>
          <w:p w14:paraId="477EF54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0636F4B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41ECBE1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30CDE8F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755B62F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7D93E8A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7DB69A1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112E9B4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1C8D94B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2B57B12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D0E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nil"/>
            </w:tcBorders>
            <w:noWrap w:val="0"/>
            <w:vAlign w:val="center"/>
          </w:tcPr>
          <w:p w14:paraId="521FE65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0A7DFC2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3A4A1DE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475C528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28AD7F3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1E54A01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3B15107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79694FB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5D42D9A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38FAD22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0A02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nil"/>
            </w:tcBorders>
            <w:noWrap w:val="0"/>
            <w:vAlign w:val="center"/>
          </w:tcPr>
          <w:p w14:paraId="2931C68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4B6968D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18E0F75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621D39E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1A82720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38D4C4F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0E08CC1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3E4D38C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2F5F31B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15C0A91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E98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nil"/>
            </w:tcBorders>
            <w:noWrap w:val="0"/>
            <w:vAlign w:val="center"/>
          </w:tcPr>
          <w:p w14:paraId="498B44F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7DCB19B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2142453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1BB3909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1FBD811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553D8F7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49DDBB4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6FBFC38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1B11A5A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4088BC5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7D74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nil"/>
            </w:tcBorders>
            <w:noWrap w:val="0"/>
            <w:vAlign w:val="center"/>
          </w:tcPr>
          <w:p w14:paraId="3FE0175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2853618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2067D7E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247C7BA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42A5CA7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2032EF5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062A380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2115256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7B80CE3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3014A3F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6DF6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nil"/>
            </w:tcBorders>
            <w:noWrap w:val="0"/>
            <w:vAlign w:val="center"/>
          </w:tcPr>
          <w:p w14:paraId="55CF9AC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475B408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25CB4CA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583A6C9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2C8B4E1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01C9C5B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4401CC4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0448965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70CE621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4D0FDFF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6E24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bottom w:val="single" w:color="auto" w:sz="4" w:space="0"/>
            </w:tcBorders>
            <w:noWrap w:val="0"/>
            <w:vAlign w:val="center"/>
          </w:tcPr>
          <w:p w14:paraId="36DA4DD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tcBorders>
              <w:bottom w:val="single" w:color="auto" w:sz="4" w:space="0"/>
            </w:tcBorders>
            <w:noWrap w:val="0"/>
            <w:vAlign w:val="center"/>
          </w:tcPr>
          <w:p w14:paraId="6D00E79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tcBorders>
              <w:bottom w:val="single" w:color="auto" w:sz="4" w:space="0"/>
            </w:tcBorders>
            <w:noWrap w:val="0"/>
            <w:vAlign w:val="center"/>
          </w:tcPr>
          <w:p w14:paraId="3A2A55F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tcBorders>
              <w:bottom w:val="single" w:color="auto" w:sz="4" w:space="0"/>
            </w:tcBorders>
            <w:noWrap w:val="0"/>
            <w:vAlign w:val="center"/>
          </w:tcPr>
          <w:p w14:paraId="48037E9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tcBorders>
              <w:bottom w:val="single" w:color="auto" w:sz="4" w:space="0"/>
            </w:tcBorders>
            <w:noWrap w:val="0"/>
            <w:vAlign w:val="center"/>
          </w:tcPr>
          <w:p w14:paraId="32C0B5F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tcBorders>
              <w:bottom w:val="single" w:color="auto" w:sz="4" w:space="0"/>
            </w:tcBorders>
            <w:noWrap w:val="0"/>
            <w:vAlign w:val="center"/>
          </w:tcPr>
          <w:p w14:paraId="46E08AE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tcBorders>
              <w:bottom w:val="single" w:color="auto" w:sz="4" w:space="0"/>
            </w:tcBorders>
            <w:noWrap w:val="0"/>
            <w:vAlign w:val="center"/>
          </w:tcPr>
          <w:p w14:paraId="35429DF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tcBorders>
              <w:bottom w:val="single" w:color="auto" w:sz="4" w:space="0"/>
            </w:tcBorders>
            <w:noWrap w:val="0"/>
            <w:vAlign w:val="center"/>
          </w:tcPr>
          <w:p w14:paraId="59CFFD0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tcBorders>
              <w:bottom w:val="single" w:color="auto" w:sz="4" w:space="0"/>
            </w:tcBorders>
            <w:noWrap w:val="0"/>
            <w:vAlign w:val="center"/>
          </w:tcPr>
          <w:p w14:paraId="12ACDF9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tcBorders>
              <w:bottom w:val="single" w:color="auto" w:sz="4" w:space="0"/>
            </w:tcBorders>
            <w:noWrap w:val="0"/>
            <w:vAlign w:val="center"/>
          </w:tcPr>
          <w:p w14:paraId="611A4AD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097E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restart"/>
            <w:tcBorders>
              <w:top w:val="single" w:color="auto" w:sz="4" w:space="0"/>
              <w:left w:val="single" w:color="auto" w:sz="4" w:space="0"/>
              <w:bottom w:val="single" w:color="auto" w:sz="4" w:space="0"/>
              <w:right w:val="single" w:color="auto" w:sz="4" w:space="0"/>
            </w:tcBorders>
            <w:noWrap w:val="0"/>
            <w:vAlign w:val="center"/>
          </w:tcPr>
          <w:p w14:paraId="0E42C59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b w:val="0"/>
                <w:bCs w:val="0"/>
                <w:color w:val="auto"/>
                <w:spacing w:val="0"/>
                <w:kern w:val="0"/>
                <w:sz w:val="21"/>
                <w:szCs w:val="21"/>
              </w:rPr>
              <w:t>经营设施</w:t>
            </w:r>
          </w:p>
        </w:tc>
        <w:tc>
          <w:tcPr>
            <w:tcW w:w="267" w:type="pct"/>
            <w:tcBorders>
              <w:top w:val="single" w:color="auto" w:sz="4" w:space="0"/>
              <w:left w:val="single" w:color="auto" w:sz="4" w:space="0"/>
              <w:bottom w:val="single" w:color="auto" w:sz="4" w:space="0"/>
              <w:right w:val="single" w:color="auto" w:sz="4" w:space="0"/>
            </w:tcBorders>
            <w:noWrap w:val="0"/>
            <w:vAlign w:val="center"/>
          </w:tcPr>
          <w:p w14:paraId="2E1E1C39">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color w:val="auto"/>
                <w:spacing w:val="0"/>
                <w:kern w:val="0"/>
                <w:sz w:val="21"/>
                <w:szCs w:val="21"/>
              </w:rPr>
              <w:t>序号</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35F35460">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功能类别</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36E93846">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权属名称</w:t>
            </w:r>
          </w:p>
        </w:tc>
        <w:tc>
          <w:tcPr>
            <w:tcW w:w="853" w:type="pct"/>
            <w:tcBorders>
              <w:top w:val="single" w:color="auto" w:sz="4" w:space="0"/>
              <w:left w:val="single" w:color="auto" w:sz="4" w:space="0"/>
              <w:bottom w:val="single" w:color="auto" w:sz="4" w:space="0"/>
              <w:right w:val="single" w:color="auto" w:sz="4" w:space="0"/>
            </w:tcBorders>
            <w:noWrap w:val="0"/>
            <w:vAlign w:val="center"/>
          </w:tcPr>
          <w:p w14:paraId="5ED21F60">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具体项目示例</w:t>
            </w:r>
          </w:p>
        </w:tc>
        <w:tc>
          <w:tcPr>
            <w:tcW w:w="307" w:type="pct"/>
            <w:gridSpan w:val="2"/>
            <w:tcBorders>
              <w:top w:val="single" w:color="auto" w:sz="4" w:space="0"/>
              <w:left w:val="single" w:color="auto" w:sz="4" w:space="0"/>
              <w:bottom w:val="single" w:color="auto" w:sz="4" w:space="0"/>
              <w:right w:val="single" w:color="auto" w:sz="4" w:space="0"/>
            </w:tcBorders>
            <w:noWrap w:val="0"/>
            <w:vAlign w:val="center"/>
          </w:tcPr>
          <w:p w14:paraId="0A1B3E20">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1"/>
                <w:szCs w:val="21"/>
              </w:rPr>
            </w:pPr>
            <w:r>
              <w:rPr>
                <w:rFonts w:hint="eastAsia" w:ascii="黑体" w:hAnsi="黑体" w:eastAsia="黑体" w:cs="黑体"/>
                <w:b w:val="0"/>
                <w:bCs w:val="0"/>
                <w:color w:val="auto"/>
                <w:spacing w:val="0"/>
                <w:kern w:val="0"/>
                <w:sz w:val="21"/>
                <w:szCs w:val="21"/>
              </w:rPr>
              <w:t>数量</w:t>
            </w:r>
          </w:p>
        </w:tc>
        <w:tc>
          <w:tcPr>
            <w:tcW w:w="348" w:type="pct"/>
            <w:tcBorders>
              <w:top w:val="single" w:color="auto" w:sz="4" w:space="0"/>
              <w:left w:val="single" w:color="auto" w:sz="4" w:space="0"/>
              <w:bottom w:val="single" w:color="auto" w:sz="4" w:space="0"/>
              <w:right w:val="single" w:color="auto" w:sz="4" w:space="0"/>
            </w:tcBorders>
            <w:noWrap w:val="0"/>
            <w:vAlign w:val="center"/>
          </w:tcPr>
          <w:p w14:paraId="285A6463">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spacing w:val="0"/>
                <w:kern w:val="0"/>
                <w:sz w:val="21"/>
                <w:szCs w:val="21"/>
              </w:rPr>
              <w:t>单位</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29E4DDF9">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spacing w:val="0"/>
                <w:kern w:val="0"/>
                <w:sz w:val="21"/>
                <w:szCs w:val="21"/>
              </w:rPr>
              <w:t>所有权</w:t>
            </w:r>
          </w:p>
        </w:tc>
        <w:tc>
          <w:tcPr>
            <w:tcW w:w="544" w:type="pct"/>
            <w:tcBorders>
              <w:top w:val="single" w:color="auto" w:sz="4" w:space="0"/>
              <w:left w:val="single" w:color="auto" w:sz="4" w:space="0"/>
              <w:bottom w:val="single" w:color="auto" w:sz="4" w:space="0"/>
              <w:right w:val="single" w:color="auto" w:sz="4" w:space="0"/>
            </w:tcBorders>
            <w:noWrap w:val="0"/>
            <w:vAlign w:val="center"/>
          </w:tcPr>
          <w:p w14:paraId="57CE4182">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spacing w:val="0"/>
                <w:kern w:val="0"/>
                <w:sz w:val="21"/>
                <w:szCs w:val="21"/>
              </w:rPr>
              <w:t>管理权</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1106D8CC">
            <w:pPr>
              <w:adjustRightInd w:val="0"/>
              <w:snapToGrid w:val="0"/>
              <w:spacing w:before="0" w:beforeLines="0" w:afterLines="0" w:line="240" w:lineRule="auto"/>
              <w:ind w:left="0" w:firstLine="0" w:firstLineChars="0"/>
              <w:jc w:val="center"/>
              <w:rPr>
                <w:rFonts w:hint="eastAsia" w:ascii="黑体" w:hAnsi="黑体" w:eastAsia="黑体" w:cs="黑体"/>
                <w:b w:val="0"/>
                <w:bCs w:val="0"/>
                <w:color w:val="auto"/>
                <w:kern w:val="0"/>
                <w:sz w:val="21"/>
                <w:szCs w:val="21"/>
              </w:rPr>
            </w:pPr>
            <w:r>
              <w:rPr>
                <w:rFonts w:hint="eastAsia" w:ascii="黑体" w:hAnsi="黑体" w:eastAsia="黑体" w:cs="黑体"/>
                <w:b w:val="0"/>
                <w:bCs w:val="0"/>
                <w:color w:val="auto"/>
                <w:spacing w:val="0"/>
                <w:kern w:val="0"/>
                <w:sz w:val="21"/>
                <w:szCs w:val="21"/>
              </w:rPr>
              <w:t>经营权</w:t>
            </w:r>
          </w:p>
        </w:tc>
      </w:tr>
      <w:tr w14:paraId="699F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single" w:color="auto" w:sz="4" w:space="0"/>
              <w:left w:val="single" w:color="auto" w:sz="4" w:space="0"/>
              <w:bottom w:val="nil"/>
            </w:tcBorders>
            <w:noWrap w:val="0"/>
            <w:vAlign w:val="center"/>
          </w:tcPr>
          <w:p w14:paraId="1A818A2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tcBorders>
              <w:top w:val="single" w:color="auto" w:sz="4" w:space="0"/>
            </w:tcBorders>
            <w:noWrap w:val="0"/>
            <w:vAlign w:val="center"/>
          </w:tcPr>
          <w:p w14:paraId="047766F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626" w:type="pct"/>
            <w:tcBorders>
              <w:top w:val="single" w:color="auto" w:sz="4" w:space="0"/>
            </w:tcBorders>
            <w:noWrap w:val="0"/>
            <w:vAlign w:val="center"/>
          </w:tcPr>
          <w:p w14:paraId="57EAD68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物资补给设施</w:t>
            </w:r>
          </w:p>
        </w:tc>
        <w:tc>
          <w:tcPr>
            <w:tcW w:w="399" w:type="pct"/>
            <w:tcBorders>
              <w:top w:val="single" w:color="auto" w:sz="4" w:space="0"/>
            </w:tcBorders>
            <w:noWrap w:val="0"/>
            <w:vAlign w:val="center"/>
          </w:tcPr>
          <w:p w14:paraId="2AB9AEB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spacing w:val="0"/>
                <w:kern w:val="0"/>
                <w:sz w:val="21"/>
                <w:szCs w:val="21"/>
              </w:rPr>
              <w:t>制冰厂</w:t>
            </w:r>
          </w:p>
        </w:tc>
        <w:tc>
          <w:tcPr>
            <w:tcW w:w="853" w:type="pct"/>
            <w:tcBorders>
              <w:top w:val="single" w:color="auto" w:sz="4" w:space="0"/>
            </w:tcBorders>
            <w:noWrap w:val="0"/>
            <w:vAlign w:val="center"/>
          </w:tcPr>
          <w:p w14:paraId="4369591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xx</w:t>
            </w:r>
            <w:r>
              <w:rPr>
                <w:rFonts w:hint="eastAsia" w:ascii="仿宋_GB2312" w:hAnsi="仿宋_GB2312" w:eastAsia="仿宋_GB2312" w:cs="仿宋_GB2312"/>
                <w:color w:val="auto"/>
                <w:spacing w:val="0"/>
                <w:kern w:val="0"/>
                <w:sz w:val="21"/>
                <w:szCs w:val="21"/>
              </w:rPr>
              <w:t>吨/日</w:t>
            </w:r>
          </w:p>
        </w:tc>
        <w:tc>
          <w:tcPr>
            <w:tcW w:w="307" w:type="pct"/>
            <w:gridSpan w:val="2"/>
            <w:tcBorders>
              <w:top w:val="single" w:color="auto" w:sz="4" w:space="0"/>
            </w:tcBorders>
            <w:noWrap w:val="0"/>
            <w:vAlign w:val="center"/>
          </w:tcPr>
          <w:p w14:paraId="4648CE1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tcBorders>
              <w:top w:val="single" w:color="auto" w:sz="4" w:space="0"/>
            </w:tcBorders>
            <w:noWrap w:val="0"/>
            <w:vAlign w:val="center"/>
          </w:tcPr>
          <w:p w14:paraId="1A32F58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tcBorders>
              <w:top w:val="single" w:color="auto" w:sz="4" w:space="0"/>
            </w:tcBorders>
            <w:noWrap w:val="0"/>
            <w:vAlign w:val="center"/>
          </w:tcPr>
          <w:p w14:paraId="672E8E7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tcBorders>
              <w:top w:val="single" w:color="auto" w:sz="4" w:space="0"/>
            </w:tcBorders>
            <w:noWrap w:val="0"/>
            <w:vAlign w:val="center"/>
          </w:tcPr>
          <w:p w14:paraId="6BB5652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tcBorders>
              <w:top w:val="single" w:color="auto" w:sz="4" w:space="0"/>
            </w:tcBorders>
            <w:noWrap w:val="0"/>
            <w:vAlign w:val="center"/>
          </w:tcPr>
          <w:p w14:paraId="36F83EC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381D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left w:val="single" w:color="auto" w:sz="4" w:space="0"/>
              <w:bottom w:val="nil"/>
            </w:tcBorders>
            <w:noWrap w:val="0"/>
            <w:vAlign w:val="center"/>
          </w:tcPr>
          <w:p w14:paraId="44EEFBB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0AE6A66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36A84C8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21F3F16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009B602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7EB234A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5EE20EA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6CF7DDF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2562434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007944F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D9C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left w:val="single" w:color="auto" w:sz="4" w:space="0"/>
              <w:bottom w:val="nil"/>
            </w:tcBorders>
            <w:noWrap w:val="0"/>
            <w:vAlign w:val="center"/>
          </w:tcPr>
          <w:p w14:paraId="33DAFC0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09E90AD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560C25C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7DE985E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449B1CF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4AB73C2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7F6FD96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7ECC65E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529E9EE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35103FF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0CAA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left w:val="single" w:color="auto" w:sz="4" w:space="0"/>
              <w:bottom w:val="nil"/>
            </w:tcBorders>
            <w:noWrap w:val="0"/>
            <w:vAlign w:val="center"/>
          </w:tcPr>
          <w:p w14:paraId="671262A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3945FF0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5D54550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331BE12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3CAA6B9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1DBF220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3CBFEAD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7232E68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5DA1FD0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5FBF9C1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48CF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left w:val="single" w:color="auto" w:sz="4" w:space="0"/>
              <w:bottom w:val="nil"/>
            </w:tcBorders>
            <w:noWrap w:val="0"/>
            <w:vAlign w:val="center"/>
          </w:tcPr>
          <w:p w14:paraId="6D0CF45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68B5D4A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654AC2D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53871DB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4B633AF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64A4782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7882777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6CDE396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1CE0DE0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1430EE2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04A3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left w:val="single" w:color="auto" w:sz="4" w:space="0"/>
              <w:bottom w:val="nil"/>
            </w:tcBorders>
            <w:noWrap w:val="0"/>
            <w:vAlign w:val="center"/>
          </w:tcPr>
          <w:p w14:paraId="580817F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noWrap w:val="0"/>
            <w:vAlign w:val="center"/>
          </w:tcPr>
          <w:p w14:paraId="079F10A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noWrap w:val="0"/>
            <w:vAlign w:val="center"/>
          </w:tcPr>
          <w:p w14:paraId="14756E3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noWrap w:val="0"/>
            <w:vAlign w:val="center"/>
          </w:tcPr>
          <w:p w14:paraId="0EE0707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42F4C5C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0FE5F8E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6FC533D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5BC5A69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35B6C04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7596184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r w14:paraId="10FB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3" w:type="pct"/>
            <w:vMerge w:val="continue"/>
            <w:tcBorders>
              <w:top w:val="nil"/>
              <w:left w:val="single" w:color="auto" w:sz="4" w:space="0"/>
              <w:bottom w:val="single" w:color="auto" w:sz="4" w:space="0"/>
            </w:tcBorders>
            <w:noWrap w:val="0"/>
            <w:vAlign w:val="center"/>
          </w:tcPr>
          <w:p w14:paraId="03DE0BA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267" w:type="pct"/>
            <w:tcBorders>
              <w:bottom w:val="single" w:color="auto" w:sz="4" w:space="0"/>
            </w:tcBorders>
            <w:noWrap w:val="0"/>
            <w:vAlign w:val="center"/>
          </w:tcPr>
          <w:p w14:paraId="5ABDF66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626" w:type="pct"/>
            <w:tcBorders>
              <w:bottom w:val="single" w:color="auto" w:sz="4" w:space="0"/>
            </w:tcBorders>
            <w:noWrap w:val="0"/>
            <w:vAlign w:val="center"/>
          </w:tcPr>
          <w:p w14:paraId="3CC263B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99" w:type="pct"/>
            <w:tcBorders>
              <w:bottom w:val="single" w:color="auto" w:sz="4" w:space="0"/>
            </w:tcBorders>
            <w:noWrap w:val="0"/>
            <w:vAlign w:val="center"/>
          </w:tcPr>
          <w:p w14:paraId="7184A55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853" w:type="pct"/>
            <w:noWrap w:val="0"/>
            <w:vAlign w:val="center"/>
          </w:tcPr>
          <w:p w14:paraId="309F554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07" w:type="pct"/>
            <w:gridSpan w:val="2"/>
            <w:noWrap w:val="0"/>
            <w:vAlign w:val="center"/>
          </w:tcPr>
          <w:p w14:paraId="01CEA88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348" w:type="pct"/>
            <w:noWrap w:val="0"/>
            <w:vAlign w:val="center"/>
          </w:tcPr>
          <w:p w14:paraId="13D4940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63" w:type="pct"/>
            <w:noWrap w:val="0"/>
            <w:vAlign w:val="center"/>
          </w:tcPr>
          <w:p w14:paraId="5C9C7D2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44" w:type="pct"/>
            <w:noWrap w:val="0"/>
            <w:vAlign w:val="center"/>
          </w:tcPr>
          <w:p w14:paraId="7F18A07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c>
          <w:tcPr>
            <w:tcW w:w="586" w:type="pct"/>
            <w:noWrap w:val="0"/>
            <w:vAlign w:val="center"/>
          </w:tcPr>
          <w:p w14:paraId="60152B3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1"/>
                <w:szCs w:val="21"/>
              </w:rPr>
            </w:pPr>
          </w:p>
        </w:tc>
      </w:tr>
    </w:tbl>
    <w:p w14:paraId="16240818">
      <w:pPr>
        <w:adjustRightInd w:val="0"/>
        <w:snapToGrid w:val="0"/>
        <w:spacing w:before="0" w:beforeLines="0" w:afterLines="0" w:line="590" w:lineRule="exact"/>
        <w:ind w:left="0" w:firstLine="0" w:firstLineChars="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注：根</w:t>
      </w:r>
      <w:r>
        <w:rPr>
          <w:sz w:val="21"/>
        </w:rPr>
        <mc:AlternateContent>
          <mc:Choice Requires="wps">
            <w:drawing>
              <wp:anchor distT="0" distB="0" distL="114300" distR="114300" simplePos="0" relativeHeight="251661312" behindDoc="0" locked="0" layoutInCell="1" allowOverlap="1">
                <wp:simplePos x="0" y="0"/>
                <wp:positionH relativeFrom="column">
                  <wp:posOffset>-661670</wp:posOffset>
                </wp:positionH>
                <wp:positionV relativeFrom="paragraph">
                  <wp:posOffset>1919605</wp:posOffset>
                </wp:positionV>
                <wp:extent cx="609600" cy="88392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609600" cy="883920"/>
                        </a:xfrm>
                        <a:prstGeom prst="rect">
                          <a:avLst/>
                        </a:prstGeom>
                        <a:noFill/>
                        <a:ln w="15875">
                          <a:noFill/>
                        </a:ln>
                      </wps:spPr>
                      <wps:txbx>
                        <w:txbxContent>
                          <w:p w14:paraId="3465D07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27 —</w:t>
                            </w:r>
                          </w:p>
                        </w:txbxContent>
                      </wps:txbx>
                      <wps:bodyPr vert="eaVert" wrap="square" upright="1"/>
                    </wps:wsp>
                  </a:graphicData>
                </a:graphic>
              </wp:anchor>
            </w:drawing>
          </mc:Choice>
          <mc:Fallback>
            <w:pict>
              <v:shape id="文本框 13" o:spid="_x0000_s1026" o:spt="202" type="#_x0000_t202" style="position:absolute;left:0pt;margin-left:-52.1pt;margin-top:151.15pt;height:69.6pt;width:48pt;z-index:251661312;mso-width-relative:page;mso-height-relative:page;" filled="f" stroked="f" coordsize="21600,21600" o:gfxdata="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&#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pk3VTcAAAACwEAAA8AAAAAAAAAAQAgAAAAIgAAAGRy&#10;cy9kb3ducmV2LnhtbFBLAQIUABQAAAAIAIdO4kB5xHM5yAEAAHQDAAAOAAAAAAAAAAEAIAAAACsB&#10;AABkcnMvZTJvRG9jLnhtbFBLBQYAAAAABgAGAFkBAABlBQAAAAA=&#10;">
                <v:fill on="f" focussize="0,0"/>
                <v:stroke on="f" weight="1.25pt"/>
                <v:imagedata o:title=""/>
                <o:lock v:ext="edit" aspectratio="f"/>
                <v:textbox style="layout-flow:vertical-ideographic;">
                  <w:txbxContent>
                    <w:p w14:paraId="3465D077">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27 —</w:t>
                      </w:r>
                    </w:p>
                  </w:txbxContent>
                </v:textbox>
              </v:shape>
            </w:pict>
          </mc:Fallback>
        </mc:AlternateContent>
      </w:r>
      <w:r>
        <w:rPr>
          <w:rFonts w:hint="eastAsia" w:ascii="仿宋_GB2312" w:hAnsi="仿宋_GB2312" w:eastAsia="仿宋_GB2312" w:cs="仿宋_GB2312"/>
          <w:color w:val="auto"/>
          <w:spacing w:val="0"/>
          <w:kern w:val="0"/>
          <w:sz w:val="24"/>
          <w:szCs w:val="24"/>
        </w:rPr>
        <w:t>据实际需求可加行。</w:t>
      </w:r>
    </w:p>
    <w:p w14:paraId="5C4E166A">
      <w:pPr>
        <w:adjustRightInd w:val="0"/>
        <w:snapToGrid w:val="0"/>
        <w:spacing w:before="0" w:beforeLines="0" w:afterLines="0" w:line="590" w:lineRule="exact"/>
        <w:ind w:firstLine="420" w:firstLineChars="200"/>
        <w:rPr>
          <w:rFonts w:hint="eastAsia" w:ascii="仿宋_GB2312" w:hAnsi="仿宋_GB2312" w:eastAsia="仿宋_GB2312" w:cs="仿宋_GB2312"/>
          <w:color w:val="auto"/>
          <w:spacing w:val="0"/>
          <w:kern w:val="0"/>
          <w:sz w:val="24"/>
          <w:szCs w:val="24"/>
        </w:rPr>
        <w:sectPr>
          <w:pgSz w:w="16838" w:h="11906" w:orient="landscape"/>
          <w:pgMar w:top="1531" w:right="1871" w:bottom="1531" w:left="1871" w:header="851" w:footer="1417" w:gutter="0"/>
          <w:pgNumType w:fmt="decimal"/>
          <w:cols w:space="720" w:num="1"/>
          <w:rtlGutter w:val="0"/>
          <w:docGrid w:type="lines" w:linePitch="631" w:charSpace="0"/>
        </w:sectPr>
      </w:pPr>
      <w:r>
        <w:rPr>
          <w:sz w:val="21"/>
        </w:rPr>
        <mc:AlternateContent>
          <mc:Choice Requires="wps">
            <w:drawing>
              <wp:anchor distT="0" distB="0" distL="114300" distR="114300" simplePos="0" relativeHeight="251664384" behindDoc="0" locked="0" layoutInCell="1" allowOverlap="1">
                <wp:simplePos x="0" y="0"/>
                <wp:positionH relativeFrom="column">
                  <wp:posOffset>7529830</wp:posOffset>
                </wp:positionH>
                <wp:positionV relativeFrom="paragraph">
                  <wp:posOffset>2145665</wp:posOffset>
                </wp:positionV>
                <wp:extent cx="861060" cy="297180"/>
                <wp:effectExtent l="0" t="0" r="15240" b="7620"/>
                <wp:wrapNone/>
                <wp:docPr id="6" name="文本框 16"/>
                <wp:cNvGraphicFramePr/>
                <a:graphic xmlns:a="http://schemas.openxmlformats.org/drawingml/2006/main">
                  <a:graphicData uri="http://schemas.microsoft.com/office/word/2010/wordprocessingShape">
                    <wps:wsp>
                      <wps:cNvSpPr txBox="1"/>
                      <wps:spPr>
                        <a:xfrm>
                          <a:off x="0" y="0"/>
                          <a:ext cx="861060" cy="297180"/>
                        </a:xfrm>
                        <a:prstGeom prst="rect">
                          <a:avLst/>
                        </a:prstGeom>
                        <a:solidFill>
                          <a:srgbClr val="FFFFFF"/>
                        </a:solidFill>
                        <a:ln w="15875">
                          <a:noFill/>
                        </a:ln>
                      </wps:spPr>
                      <wps:txbx>
                        <w:txbxContent>
                          <w:p w14:paraId="1B9A9D0F"/>
                        </w:txbxContent>
                      </wps:txbx>
                      <wps:bodyPr wrap="square" upright="1"/>
                    </wps:wsp>
                  </a:graphicData>
                </a:graphic>
              </wp:anchor>
            </w:drawing>
          </mc:Choice>
          <mc:Fallback>
            <w:pict>
              <v:shape id="文本框 16" o:spid="_x0000_s1026" o:spt="202" type="#_x0000_t202" style="position:absolute;left:0pt;margin-left:592.9pt;margin-top:168.95pt;height:23.4pt;width:67.8pt;z-index:251664384;mso-width-relative:page;mso-height-relative:page;" fillcolor="#FFFFFF" filled="t" stroked="f" coordsize="21600,21600" o:gfxdata="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95li7bAAAADQEAAA8AAAAAAAAA&#10;AQAgAAAAIgAAAGRycy9kb3ducmV2LnhtbFBLAQIUABQAAAAIAIdO4kAPsdjf1QEAAI8DAAAOAAAA&#10;AAAAAAEAIAAAACoBAABkcnMvZTJvRG9jLnhtbFBLBQYAAAAABgAGAFkBAABxBQAAAAA=&#10;">
                <v:fill on="t" focussize="0,0"/>
                <v:stroke on="f" weight="1.25pt"/>
                <v:imagedata o:title=""/>
                <o:lock v:ext="edit" aspectratio="f"/>
                <v:textbox>
                  <w:txbxContent>
                    <w:p w14:paraId="1B9A9D0F"/>
                  </w:txbxContent>
                </v:textbox>
              </v:shape>
            </w:pict>
          </mc:Fallback>
        </mc:AlternateContent>
      </w:r>
    </w:p>
    <w:p w14:paraId="5C1F6962">
      <w:pPr>
        <w:adjustRightInd w:val="0"/>
        <w:snapToGrid w:val="0"/>
        <w:spacing w:before="0" w:beforeLines="0" w:afterLines="0" w:line="590" w:lineRule="exact"/>
        <w:ind w:firstLine="0" w:firstLineChars="0"/>
        <w:rPr>
          <w:rFonts w:hint="eastAsia" w:ascii="黑体" w:hAnsi="黑体" w:eastAsia="黑体" w:cs="黑体"/>
          <w:color w:val="auto"/>
          <w:kern w:val="0"/>
          <w:sz w:val="32"/>
          <w:szCs w:val="32"/>
        </w:rPr>
      </w:pPr>
      <w:r>
        <w:rPr>
          <w:rFonts w:hint="eastAsia" w:ascii="黑体" w:hAnsi="黑体" w:eastAsia="黑体" w:cs="黑体"/>
          <w:color w:val="auto"/>
          <w:spacing w:val="0"/>
          <w:kern w:val="0"/>
          <w:sz w:val="32"/>
          <w:szCs w:val="32"/>
        </w:rPr>
        <w:t>附件2</w:t>
      </w:r>
    </w:p>
    <w:p w14:paraId="4B38463A">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2580E7FD">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0E76245B">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6B8AD59C">
      <w:pPr>
        <w:adjustRightInd w:val="0"/>
        <w:snapToGrid w:val="0"/>
        <w:spacing w:beforeLines="0" w:afterLines="0" w:line="560" w:lineRule="exact"/>
        <w:ind w:firstLine="0" w:firstLineChars="0"/>
        <w:jc w:val="center"/>
        <w:textAlignment w:val="baseline"/>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广东省XX市XX县（市、区）XX渔港</w:t>
      </w:r>
    </w:p>
    <w:p w14:paraId="19254806">
      <w:pPr>
        <w:adjustRightInd w:val="0"/>
        <w:snapToGrid w:val="0"/>
        <w:spacing w:beforeLines="0" w:afterLines="0" w:line="560" w:lineRule="exact"/>
        <w:ind w:firstLine="0" w:firstLineChars="0"/>
        <w:jc w:val="center"/>
        <w:textAlignment w:val="baseline"/>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等级认定申请报告</w:t>
      </w:r>
    </w:p>
    <w:p w14:paraId="31A476EA">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632B9548">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192D2C76">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0D2F5EF4">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4AB60066">
      <w:pPr>
        <w:widowControl w:val="0"/>
        <w:kinsoku w:val="0"/>
        <w:autoSpaceDE w:val="0"/>
        <w:autoSpaceDN w:val="0"/>
        <w:adjustRightInd w:val="0"/>
        <w:snapToGrid w:val="0"/>
        <w:spacing w:beforeLines="0" w:afterLines="0" w:line="590" w:lineRule="exact"/>
        <w:ind w:firstLine="640" w:firstLineChars="200"/>
        <w:textAlignment w:val="baseline"/>
        <w:rPr>
          <w:rFonts w:hint="eastAsia" w:ascii="仿宋_GB2312" w:hAnsi="仿宋_GB2312" w:eastAsia="仿宋_GB2312" w:cs="仿宋_GB2312"/>
          <w:color w:val="auto"/>
          <w:kern w:val="0"/>
        </w:rPr>
      </w:pPr>
    </w:p>
    <w:p w14:paraId="7B83F915">
      <w:pPr>
        <w:adjustRightInd w:val="0"/>
        <w:snapToGrid w:val="0"/>
        <w:spacing w:beforeLines="0" w:afterLines="0" w:line="590" w:lineRule="exact"/>
        <w:ind w:firstLine="1600" w:firstLineChars="500"/>
        <w:jc w:val="both"/>
        <w:textAlignment w:val="baseline"/>
        <w:rPr>
          <w:rFonts w:hint="eastAsia" w:ascii="仿宋_GB2312" w:hAnsi="仿宋_GB2312" w:eastAsia="仿宋_GB2312" w:cs="仿宋_GB2312"/>
          <w:color w:val="auto"/>
          <w:kern w:val="0"/>
          <w:sz w:val="32"/>
          <w:szCs w:val="32"/>
        </w:rPr>
      </w:pPr>
    </w:p>
    <w:p w14:paraId="10D0837C">
      <w:pPr>
        <w:adjustRightInd w:val="0"/>
        <w:snapToGrid w:val="0"/>
        <w:spacing w:beforeLines="0" w:afterLines="0" w:line="590" w:lineRule="exact"/>
        <w:ind w:firstLine="1600" w:firstLineChars="500"/>
        <w:jc w:val="both"/>
        <w:textAlignment w:val="baseline"/>
        <w:rPr>
          <w:rFonts w:hint="eastAsia" w:ascii="仿宋_GB2312" w:hAnsi="仿宋_GB2312" w:eastAsia="仿宋_GB2312" w:cs="仿宋_GB2312"/>
          <w:color w:val="auto"/>
          <w:kern w:val="0"/>
          <w:sz w:val="32"/>
          <w:szCs w:val="32"/>
        </w:rPr>
      </w:pPr>
    </w:p>
    <w:p w14:paraId="15DE7BD4">
      <w:pPr>
        <w:adjustRightInd w:val="0"/>
        <w:snapToGrid w:val="0"/>
        <w:spacing w:beforeLines="0" w:afterLines="0" w:line="590" w:lineRule="exact"/>
        <w:ind w:firstLine="0" w:firstLineChars="0"/>
        <w:jc w:val="center"/>
        <w:textAlignment w:val="baseline"/>
        <w:rPr>
          <w:rFonts w:hint="eastAsia" w:ascii="仿宋_GB2312" w:hAnsi="仿宋_GB2312" w:eastAsia="仿宋_GB2312" w:cs="仿宋_GB2312"/>
          <w:color w:val="auto"/>
          <w:kern w:val="0"/>
          <w:sz w:val="32"/>
          <w:szCs w:val="32"/>
        </w:rPr>
      </w:pPr>
    </w:p>
    <w:p w14:paraId="60684B86">
      <w:pPr>
        <w:adjustRightInd w:val="0"/>
        <w:snapToGrid w:val="0"/>
        <w:spacing w:beforeLines="0" w:afterLines="0" w:line="590" w:lineRule="exact"/>
        <w:ind w:firstLine="0" w:firstLineChars="0"/>
        <w:jc w:val="center"/>
        <w:textAlignment w:val="baseline"/>
        <w:rPr>
          <w:rFonts w:hint="eastAsia" w:ascii="仿宋_GB2312" w:hAnsi="仿宋_GB2312" w:eastAsia="仿宋_GB2312" w:cs="仿宋_GB2312"/>
          <w:color w:val="auto"/>
          <w:kern w:val="0"/>
          <w:sz w:val="32"/>
          <w:szCs w:val="32"/>
        </w:rPr>
      </w:pPr>
    </w:p>
    <w:p w14:paraId="5FAF6266">
      <w:pPr>
        <w:adjustRightInd w:val="0"/>
        <w:snapToGrid w:val="0"/>
        <w:spacing w:beforeLines="0" w:afterLines="0" w:line="590" w:lineRule="exact"/>
        <w:ind w:firstLine="0" w:firstLineChars="0"/>
        <w:jc w:val="center"/>
        <w:textAlignment w:val="baseline"/>
        <w:rPr>
          <w:rFonts w:hint="eastAsia" w:ascii="仿宋_GB2312" w:hAnsi="仿宋_GB2312" w:eastAsia="仿宋_GB2312" w:cs="仿宋_GB2312"/>
          <w:color w:val="auto"/>
          <w:kern w:val="0"/>
          <w:sz w:val="32"/>
          <w:szCs w:val="32"/>
        </w:rPr>
      </w:pPr>
    </w:p>
    <w:p w14:paraId="469D1230">
      <w:pPr>
        <w:adjustRightInd w:val="0"/>
        <w:snapToGrid w:val="0"/>
        <w:spacing w:beforeLines="0" w:afterLines="0" w:line="590" w:lineRule="exact"/>
        <w:ind w:firstLine="0" w:firstLineChars="0"/>
        <w:jc w:val="center"/>
        <w:textAlignment w:val="baseline"/>
        <w:rPr>
          <w:rFonts w:hint="eastAsia" w:ascii="仿宋_GB2312" w:hAnsi="仿宋_GB2312" w:eastAsia="仿宋_GB2312" w:cs="仿宋_GB2312"/>
          <w:color w:val="auto"/>
          <w:kern w:val="0"/>
          <w:sz w:val="32"/>
          <w:szCs w:val="32"/>
        </w:rPr>
      </w:pPr>
    </w:p>
    <w:p w14:paraId="3ED37089">
      <w:pPr>
        <w:adjustRightInd w:val="0"/>
        <w:snapToGrid w:val="0"/>
        <w:spacing w:beforeLines="0" w:afterLines="0" w:line="590" w:lineRule="exact"/>
        <w:ind w:firstLine="0" w:firstLineChars="0"/>
        <w:jc w:val="center"/>
        <w:textAlignment w:val="baseline"/>
        <w:rPr>
          <w:rFonts w:hint="eastAsia" w:ascii="仿宋_GB2312" w:hAnsi="仿宋_GB2312" w:eastAsia="仿宋_GB2312" w:cs="仿宋_GB2312"/>
          <w:color w:val="auto"/>
          <w:kern w:val="0"/>
          <w:sz w:val="32"/>
          <w:szCs w:val="32"/>
        </w:rPr>
      </w:pPr>
    </w:p>
    <w:p w14:paraId="58A988EA">
      <w:pPr>
        <w:adjustRightInd w:val="0"/>
        <w:snapToGrid w:val="0"/>
        <w:spacing w:beforeLines="0" w:afterLines="0" w:line="590" w:lineRule="exact"/>
        <w:ind w:firstLine="0" w:firstLineChars="0"/>
        <w:jc w:val="center"/>
        <w:textAlignment w:val="baseline"/>
        <w:rPr>
          <w:rFonts w:hint="eastAsia" w:ascii="仿宋_GB2312" w:hAnsi="仿宋_GB2312" w:eastAsia="仿宋_GB2312" w:cs="仿宋_GB2312"/>
          <w:color w:val="auto"/>
          <w:kern w:val="0"/>
          <w:sz w:val="32"/>
          <w:szCs w:val="32"/>
        </w:rPr>
      </w:pPr>
    </w:p>
    <w:p w14:paraId="18D6A962">
      <w:pPr>
        <w:adjustRightInd w:val="0"/>
        <w:snapToGrid w:val="0"/>
        <w:spacing w:beforeLines="0" w:afterLines="0" w:line="590" w:lineRule="exact"/>
        <w:ind w:firstLine="0" w:firstLineChars="0"/>
        <w:jc w:val="center"/>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申报单位名称（盖章）：</w:t>
      </w:r>
    </w:p>
    <w:p w14:paraId="4CFB536E">
      <w:pPr>
        <w:adjustRightInd w:val="0"/>
        <w:snapToGrid w:val="0"/>
        <w:spacing w:beforeLines="0" w:afterLines="0" w:line="590" w:lineRule="exact"/>
        <w:ind w:firstLine="0" w:firstLineChars="0"/>
        <w:jc w:val="center"/>
        <w:textAlignment w:val="baseline"/>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kern w:val="0"/>
          <w:sz w:val="32"/>
          <w:szCs w:val="32"/>
        </w:rPr>
        <w:t>xxxx年xx月</w:t>
      </w:r>
    </w:p>
    <w:p w14:paraId="4E5216BA">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rPr>
      </w:pPr>
    </w:p>
    <w:p w14:paraId="539D0A8D">
      <w:pPr>
        <w:widowControl w:val="0"/>
        <w:kinsoku w:val="0"/>
        <w:autoSpaceDE w:val="0"/>
        <w:autoSpaceDN w:val="0"/>
        <w:adjustRightInd w:val="0"/>
        <w:snapToGrid w:val="0"/>
        <w:spacing w:before="0" w:beforeLines="0" w:after="0" w:afterLines="0" w:line="590" w:lineRule="exact"/>
        <w:ind w:firstLine="0" w:firstLineChars="0"/>
        <w:jc w:val="center"/>
        <w:textAlignment w:val="baseline"/>
        <w:rPr>
          <w:rFonts w:hint="eastAsia" w:ascii="黑体" w:hAnsi="黑体" w:eastAsia="黑体" w:cs="黑体"/>
          <w:color w:val="auto"/>
          <w:kern w:val="0"/>
          <w:sz w:val="32"/>
          <w:szCs w:val="32"/>
        </w:rPr>
      </w:pPr>
      <w:r>
        <w:rPr>
          <w:rFonts w:hint="eastAsia" w:ascii="仿宋_GB2312" w:hAnsi="仿宋_GB2312" w:eastAsia="仿宋_GB2312" w:cs="仿宋_GB2312"/>
          <w:color w:val="auto"/>
          <w:kern w:val="0"/>
          <w:sz w:val="32"/>
          <w:szCs w:val="32"/>
        </w:rPr>
        <w:br w:type="page"/>
      </w:r>
      <w:r>
        <w:rPr>
          <w:rFonts w:hint="eastAsia" w:ascii="黑体" w:hAnsi="黑体" w:eastAsia="黑体" w:cs="黑体"/>
          <w:color w:val="auto"/>
          <w:kern w:val="0"/>
          <w:sz w:val="32"/>
          <w:szCs w:val="32"/>
        </w:rPr>
        <w:t xml:space="preserve">第一章 </w:t>
      </w:r>
      <w:r>
        <w:rPr>
          <w:rFonts w:hint="eastAsia" w:ascii="黑体" w:hAnsi="黑体" w:eastAsia="黑体" w:cs="黑体"/>
          <w:color w:val="auto"/>
          <w:kern w:val="0"/>
          <w:sz w:val="32"/>
          <w:szCs w:val="32"/>
          <w:lang w:val="en-US" w:eastAsia="zh-CN"/>
        </w:rPr>
        <w:t xml:space="preserve"> </w:t>
      </w:r>
      <w:r>
        <w:rPr>
          <w:rFonts w:hint="eastAsia" w:ascii="黑体" w:hAnsi="黑体" w:eastAsia="黑体" w:cs="黑体"/>
          <w:color w:val="auto"/>
          <w:kern w:val="0"/>
          <w:sz w:val="32"/>
          <w:szCs w:val="32"/>
        </w:rPr>
        <w:t>概</w:t>
      </w:r>
      <w:r>
        <w:rPr>
          <w:rFonts w:hint="eastAsia" w:ascii="黑体" w:hAnsi="黑体" w:eastAsia="黑体" w:cs="黑体"/>
          <w:color w:val="auto"/>
          <w:spacing w:val="0"/>
          <w:kern w:val="0"/>
          <w:sz w:val="32"/>
          <w:szCs w:val="32"/>
        </w:rPr>
        <w:t xml:space="preserve">  </w:t>
      </w:r>
      <w:r>
        <w:rPr>
          <w:rFonts w:hint="eastAsia" w:ascii="黑体" w:hAnsi="黑体" w:eastAsia="黑体" w:cs="黑体"/>
          <w:color w:val="auto"/>
          <w:kern w:val="0"/>
          <w:sz w:val="32"/>
          <w:szCs w:val="32"/>
        </w:rPr>
        <w:t>述</w:t>
      </w:r>
    </w:p>
    <w:p w14:paraId="0C0845A6">
      <w:pPr>
        <w:adjustRightInd w:val="0"/>
        <w:snapToGrid w:val="0"/>
        <w:spacing w:beforeLines="0" w:afterLines="0" w:line="590" w:lineRule="exact"/>
        <w:ind w:firstLine="643" w:firstLineChars="200"/>
        <w:jc w:val="both"/>
        <w:textAlignment w:val="baseline"/>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1.1 等级认定渔港</w:t>
      </w:r>
    </w:p>
    <w:p w14:paraId="7AC581D5">
      <w:pPr>
        <w:adjustRightInd w:val="0"/>
        <w:snapToGrid w:val="0"/>
        <w:spacing w:beforeLines="0" w:afterLines="0" w:line="590" w:lineRule="exact"/>
        <w:ind w:firstLine="640" w:firstLineChars="200"/>
        <w:jc w:val="both"/>
        <w:textAlignment w:val="baseline"/>
        <w:rPr>
          <w:rFonts w:hint="eastAsia" w:ascii="仿宋_GB2312" w:hAnsi="仿宋_GB2312" w:eastAsia="仿宋_GB2312" w:cs="仿宋_GB2312"/>
          <w:color w:val="auto"/>
          <w:kern w:val="0"/>
          <w:sz w:val="32"/>
          <w:szCs w:val="32"/>
        </w:rPr>
      </w:pP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1</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渔港名称：广东省XX市XX县</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市、区</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XX渔港</w:t>
      </w:r>
    </w:p>
    <w:p w14:paraId="723CC381">
      <w:pPr>
        <w:adjustRightInd w:val="0"/>
        <w:snapToGrid w:val="0"/>
        <w:spacing w:beforeLines="0" w:afterLines="0" w:line="590" w:lineRule="exact"/>
        <w:ind w:firstLine="640" w:firstLineChars="200"/>
        <w:jc w:val="both"/>
        <w:textAlignment w:val="baseline"/>
        <w:rPr>
          <w:rFonts w:hint="eastAsia" w:ascii="仿宋_GB2312" w:hAnsi="仿宋_GB2312" w:eastAsia="仿宋_GB2312" w:cs="仿宋_GB2312"/>
          <w:color w:val="auto"/>
          <w:kern w:val="0"/>
          <w:sz w:val="32"/>
          <w:szCs w:val="32"/>
        </w:rPr>
      </w:pP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2</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渔港现状等级： xx 渔港</w:t>
      </w:r>
    </w:p>
    <w:p w14:paraId="369EAAB9">
      <w:pPr>
        <w:adjustRightInd w:val="0"/>
        <w:snapToGrid w:val="0"/>
        <w:spacing w:beforeLines="0" w:afterLines="0" w:line="590" w:lineRule="exact"/>
        <w:ind w:firstLine="640" w:firstLineChars="200"/>
        <w:jc w:val="both"/>
        <w:textAlignment w:val="baseline"/>
        <w:rPr>
          <w:rFonts w:hint="eastAsia" w:ascii="仿宋_GB2312" w:hAnsi="仿宋_GB2312" w:eastAsia="仿宋_GB2312" w:cs="仿宋_GB2312"/>
          <w:color w:val="auto"/>
          <w:kern w:val="0"/>
          <w:sz w:val="32"/>
          <w:szCs w:val="32"/>
        </w:rPr>
      </w:pP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3</w:t>
      </w:r>
      <w:r>
        <w:rPr>
          <w:rFonts w:hint="default"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rPr>
        <w:t>申请认定等级： xx 渔港</w:t>
      </w:r>
    </w:p>
    <w:p w14:paraId="6D1D024F">
      <w:pPr>
        <w:adjustRightInd w:val="0"/>
        <w:snapToGrid w:val="0"/>
        <w:spacing w:beforeLines="0" w:afterLines="0" w:line="590" w:lineRule="exact"/>
        <w:ind w:firstLine="643" w:firstLineChars="200"/>
        <w:jc w:val="both"/>
        <w:textAlignment w:val="baseline"/>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1.2 渔港等级认定自评分表</w:t>
      </w:r>
    </w:p>
    <w:p w14:paraId="45B7F0C2">
      <w:pPr>
        <w:adjustRightInd w:val="0"/>
        <w:snapToGrid w:val="0"/>
        <w:spacing w:beforeLines="0" w:afterLines="0" w:line="590" w:lineRule="exact"/>
        <w:ind w:firstLine="640" w:firstLineChars="200"/>
        <w:jc w:val="both"/>
        <w:textAlignment w:val="baseline"/>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申报单位根据《沿海渔港等级认定标准》渔港等级认定指标计分表，按照证明材料自评打分。</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9"/>
        <w:gridCol w:w="569"/>
        <w:gridCol w:w="2419"/>
        <w:gridCol w:w="1254"/>
        <w:gridCol w:w="1423"/>
        <w:gridCol w:w="851"/>
        <w:gridCol w:w="870"/>
        <w:gridCol w:w="764"/>
      </w:tblGrid>
      <w:tr w14:paraId="4719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restart"/>
            <w:tcBorders>
              <w:left w:val="nil"/>
              <w:bottom w:val="nil"/>
            </w:tcBorders>
            <w:noWrap w:val="0"/>
            <w:vAlign w:val="center"/>
          </w:tcPr>
          <w:p w14:paraId="6E9914CB">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一级</w:t>
            </w:r>
          </w:p>
          <w:p w14:paraId="7176D29B">
            <w:pPr>
              <w:adjustRightInd w:val="0"/>
              <w:snapToGrid w:val="0"/>
              <w:spacing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指标</w:t>
            </w:r>
          </w:p>
        </w:tc>
        <w:tc>
          <w:tcPr>
            <w:tcW w:w="322" w:type="pct"/>
            <w:vMerge w:val="restart"/>
            <w:tcBorders>
              <w:bottom w:val="nil"/>
            </w:tcBorders>
            <w:noWrap w:val="0"/>
            <w:vAlign w:val="center"/>
          </w:tcPr>
          <w:p w14:paraId="3606087D">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序</w:t>
            </w:r>
          </w:p>
          <w:p w14:paraId="0F02F1B3">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号</w:t>
            </w:r>
          </w:p>
        </w:tc>
        <w:tc>
          <w:tcPr>
            <w:tcW w:w="1368" w:type="pct"/>
            <w:vMerge w:val="restart"/>
            <w:tcBorders>
              <w:bottom w:val="nil"/>
            </w:tcBorders>
            <w:noWrap w:val="0"/>
            <w:vAlign w:val="center"/>
          </w:tcPr>
          <w:p w14:paraId="49F8D34B">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二级指标</w:t>
            </w:r>
          </w:p>
        </w:tc>
        <w:tc>
          <w:tcPr>
            <w:tcW w:w="2917" w:type="pct"/>
            <w:gridSpan w:val="5"/>
            <w:tcBorders>
              <w:right w:val="nil"/>
            </w:tcBorders>
            <w:noWrap w:val="0"/>
            <w:vAlign w:val="center"/>
          </w:tcPr>
          <w:p w14:paraId="3EFE7EF5">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kern w:val="0"/>
                <w:sz w:val="24"/>
                <w:szCs w:val="24"/>
              </w:rPr>
              <w:t>渔港指标与申请认定等级指标参数对比</w:t>
            </w:r>
          </w:p>
        </w:tc>
      </w:tr>
      <w:tr w14:paraId="3F9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tcBorders>
            <w:noWrap w:val="0"/>
            <w:vAlign w:val="center"/>
          </w:tcPr>
          <w:p w14:paraId="5388E807">
            <w:pPr>
              <w:adjustRightInd w:val="0"/>
              <w:snapToGrid w:val="0"/>
              <w:spacing w:beforeLines="0" w:afterLines="0" w:line="240" w:lineRule="auto"/>
              <w:ind w:firstLine="0" w:firstLineChars="0"/>
              <w:jc w:val="center"/>
              <w:rPr>
                <w:rFonts w:hint="eastAsia" w:ascii="黑体" w:hAnsi="黑体" w:eastAsia="黑体" w:cs="黑体"/>
                <w:color w:val="auto"/>
                <w:kern w:val="0"/>
                <w:sz w:val="24"/>
                <w:szCs w:val="24"/>
              </w:rPr>
            </w:pPr>
          </w:p>
        </w:tc>
        <w:tc>
          <w:tcPr>
            <w:tcW w:w="322" w:type="pct"/>
            <w:vMerge w:val="continue"/>
            <w:tcBorders>
              <w:top w:val="nil"/>
            </w:tcBorders>
            <w:noWrap w:val="0"/>
            <w:textDirection w:val="tbRlV"/>
            <w:vAlign w:val="center"/>
          </w:tcPr>
          <w:p w14:paraId="6285D36D">
            <w:pPr>
              <w:adjustRightInd w:val="0"/>
              <w:snapToGrid w:val="0"/>
              <w:spacing w:beforeLines="0" w:afterLines="0" w:line="240" w:lineRule="auto"/>
              <w:ind w:firstLine="0" w:firstLineChars="0"/>
              <w:jc w:val="center"/>
              <w:rPr>
                <w:rFonts w:hint="eastAsia" w:ascii="黑体" w:hAnsi="黑体" w:eastAsia="黑体" w:cs="黑体"/>
                <w:color w:val="auto"/>
                <w:kern w:val="0"/>
                <w:sz w:val="24"/>
                <w:szCs w:val="24"/>
              </w:rPr>
            </w:pPr>
          </w:p>
        </w:tc>
        <w:tc>
          <w:tcPr>
            <w:tcW w:w="1368" w:type="pct"/>
            <w:vMerge w:val="continue"/>
            <w:tcBorders>
              <w:top w:val="nil"/>
            </w:tcBorders>
            <w:noWrap w:val="0"/>
            <w:vAlign w:val="center"/>
          </w:tcPr>
          <w:p w14:paraId="19E90DAC">
            <w:pPr>
              <w:adjustRightInd w:val="0"/>
              <w:snapToGrid w:val="0"/>
              <w:spacing w:beforeLines="0" w:afterLines="0" w:line="240" w:lineRule="auto"/>
              <w:ind w:firstLine="0" w:firstLineChars="0"/>
              <w:jc w:val="center"/>
              <w:rPr>
                <w:rFonts w:hint="eastAsia" w:ascii="黑体" w:hAnsi="黑体" w:eastAsia="黑体" w:cs="黑体"/>
                <w:color w:val="auto"/>
                <w:kern w:val="0"/>
                <w:sz w:val="24"/>
                <w:szCs w:val="24"/>
              </w:rPr>
            </w:pPr>
          </w:p>
        </w:tc>
        <w:tc>
          <w:tcPr>
            <w:tcW w:w="709" w:type="pct"/>
            <w:noWrap w:val="0"/>
            <w:vAlign w:val="center"/>
          </w:tcPr>
          <w:p w14:paraId="6DC9C372">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实际指标</w:t>
            </w:r>
          </w:p>
          <w:p w14:paraId="4D6EC253">
            <w:pPr>
              <w:adjustRightInd w:val="0"/>
              <w:snapToGrid w:val="0"/>
              <w:spacing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参数</w:t>
            </w:r>
          </w:p>
        </w:tc>
        <w:tc>
          <w:tcPr>
            <w:tcW w:w="805" w:type="pct"/>
            <w:noWrap w:val="0"/>
            <w:vAlign w:val="center"/>
          </w:tcPr>
          <w:p w14:paraId="415687C9">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认定等级</w:t>
            </w:r>
          </w:p>
          <w:p w14:paraId="2D22F95A">
            <w:pPr>
              <w:adjustRightInd w:val="0"/>
              <w:snapToGrid w:val="0"/>
              <w:spacing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指标参数</w:t>
            </w:r>
          </w:p>
        </w:tc>
        <w:tc>
          <w:tcPr>
            <w:tcW w:w="481" w:type="pct"/>
            <w:noWrap w:val="0"/>
            <w:vAlign w:val="center"/>
          </w:tcPr>
          <w:p w14:paraId="024EE22D">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是否</w:t>
            </w:r>
          </w:p>
          <w:p w14:paraId="7C37EECC">
            <w:pPr>
              <w:adjustRightInd w:val="0"/>
              <w:snapToGrid w:val="0"/>
              <w:spacing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满足</w:t>
            </w:r>
          </w:p>
        </w:tc>
        <w:tc>
          <w:tcPr>
            <w:tcW w:w="486" w:type="pct"/>
            <w:noWrap w:val="0"/>
            <w:vAlign w:val="center"/>
          </w:tcPr>
          <w:p w14:paraId="7AC35EB4">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指标</w:t>
            </w:r>
          </w:p>
          <w:p w14:paraId="4CE4079D">
            <w:pPr>
              <w:adjustRightInd w:val="0"/>
              <w:snapToGrid w:val="0"/>
              <w:spacing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b w:val="0"/>
                <w:bCs w:val="0"/>
                <w:color w:val="auto"/>
                <w:spacing w:val="0"/>
                <w:kern w:val="0"/>
                <w:sz w:val="24"/>
                <w:szCs w:val="24"/>
              </w:rPr>
              <w:t>分数</w:t>
            </w:r>
          </w:p>
        </w:tc>
        <w:tc>
          <w:tcPr>
            <w:tcW w:w="432" w:type="pct"/>
            <w:tcBorders>
              <w:right w:val="nil"/>
            </w:tcBorders>
            <w:noWrap w:val="0"/>
            <w:vAlign w:val="center"/>
          </w:tcPr>
          <w:p w14:paraId="050FFB5E">
            <w:pPr>
              <w:adjustRightInd w:val="0"/>
              <w:snapToGrid w:val="0"/>
              <w:spacing w:before="0" w:beforeLines="0" w:afterLines="0" w:line="240" w:lineRule="auto"/>
              <w:ind w:left="0" w:firstLine="0" w:firstLineChars="0"/>
              <w:jc w:val="center"/>
              <w:rPr>
                <w:rFonts w:hint="eastAsia" w:ascii="黑体" w:hAnsi="黑体" w:eastAsia="黑体" w:cs="黑体"/>
                <w:color w:val="auto"/>
                <w:kern w:val="0"/>
                <w:sz w:val="24"/>
                <w:szCs w:val="24"/>
              </w:rPr>
            </w:pPr>
            <w:r>
              <w:rPr>
                <w:rFonts w:hint="eastAsia" w:ascii="黑体" w:hAnsi="黑体" w:eastAsia="黑体" w:cs="黑体"/>
                <w:color w:val="auto"/>
                <w:spacing w:val="0"/>
                <w:kern w:val="0"/>
                <w:sz w:val="24"/>
                <w:szCs w:val="24"/>
              </w:rPr>
              <w:t>得分</w:t>
            </w:r>
          </w:p>
        </w:tc>
      </w:tr>
      <w:tr w14:paraId="4D8E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restart"/>
            <w:tcBorders>
              <w:left w:val="nil"/>
              <w:bottom w:val="nil"/>
            </w:tcBorders>
            <w:noWrap w:val="0"/>
            <w:vAlign w:val="center"/>
          </w:tcPr>
          <w:p w14:paraId="388D52C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基础</w:t>
            </w:r>
          </w:p>
          <w:p w14:paraId="09DBBE0C">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指标</w:t>
            </w:r>
          </w:p>
        </w:tc>
        <w:tc>
          <w:tcPr>
            <w:tcW w:w="322" w:type="pct"/>
            <w:noWrap w:val="0"/>
            <w:vAlign w:val="center"/>
          </w:tcPr>
          <w:p w14:paraId="34C8CAA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368" w:type="pct"/>
            <w:noWrap w:val="0"/>
            <w:vAlign w:val="center"/>
          </w:tcPr>
          <w:p w14:paraId="29C44DD8">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渔港港章、港界</w:t>
            </w:r>
          </w:p>
        </w:tc>
        <w:tc>
          <w:tcPr>
            <w:tcW w:w="709" w:type="pct"/>
            <w:noWrap w:val="0"/>
            <w:vAlign w:val="center"/>
          </w:tcPr>
          <w:p w14:paraId="6AB31E3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755CA06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07CF91C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3F50159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c>
          <w:tcPr>
            <w:tcW w:w="432" w:type="pct"/>
            <w:tcBorders>
              <w:right w:val="nil"/>
            </w:tcBorders>
            <w:noWrap w:val="0"/>
            <w:vAlign w:val="center"/>
          </w:tcPr>
          <w:p w14:paraId="18FCBA7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0519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528F501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16CC8B9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368" w:type="pct"/>
            <w:noWrap w:val="0"/>
            <w:vAlign w:val="center"/>
          </w:tcPr>
          <w:p w14:paraId="36680EA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界限标识</w:t>
            </w:r>
          </w:p>
        </w:tc>
        <w:tc>
          <w:tcPr>
            <w:tcW w:w="709" w:type="pct"/>
            <w:noWrap w:val="0"/>
            <w:vAlign w:val="center"/>
          </w:tcPr>
          <w:p w14:paraId="7797713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36B127D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12B9900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10F6F0C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4*</w:t>
            </w:r>
          </w:p>
        </w:tc>
        <w:tc>
          <w:tcPr>
            <w:tcW w:w="432" w:type="pct"/>
            <w:tcBorders>
              <w:right w:val="nil"/>
            </w:tcBorders>
            <w:noWrap w:val="0"/>
            <w:vAlign w:val="center"/>
          </w:tcPr>
          <w:p w14:paraId="7475765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4788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jc w:val="center"/>
        </w:trPr>
        <w:tc>
          <w:tcPr>
            <w:tcW w:w="390" w:type="pct"/>
            <w:vMerge w:val="continue"/>
            <w:tcBorders>
              <w:top w:val="nil"/>
              <w:left w:val="nil"/>
            </w:tcBorders>
            <w:noWrap w:val="0"/>
            <w:vAlign w:val="center"/>
          </w:tcPr>
          <w:p w14:paraId="471610E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2174622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368" w:type="pct"/>
            <w:noWrap w:val="0"/>
            <w:vAlign w:val="center"/>
          </w:tcPr>
          <w:p w14:paraId="3EABA01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权属清单</w:t>
            </w:r>
          </w:p>
        </w:tc>
        <w:tc>
          <w:tcPr>
            <w:tcW w:w="709" w:type="pct"/>
            <w:noWrap w:val="0"/>
            <w:vAlign w:val="center"/>
          </w:tcPr>
          <w:p w14:paraId="448CBF0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7B7AAB5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39F46C7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657B26F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6*</w:t>
            </w:r>
          </w:p>
        </w:tc>
        <w:tc>
          <w:tcPr>
            <w:tcW w:w="432" w:type="pct"/>
            <w:tcBorders>
              <w:right w:val="nil"/>
            </w:tcBorders>
            <w:noWrap w:val="0"/>
            <w:vAlign w:val="center"/>
          </w:tcPr>
          <w:p w14:paraId="0BC527D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6B8D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restart"/>
            <w:tcBorders>
              <w:left w:val="nil"/>
              <w:bottom w:val="nil"/>
            </w:tcBorders>
            <w:noWrap w:val="0"/>
            <w:vAlign w:val="center"/>
          </w:tcPr>
          <w:p w14:paraId="0BC0E29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规模</w:t>
            </w:r>
          </w:p>
          <w:p w14:paraId="68BC7235">
            <w:pPr>
              <w:adjustRightInd w:val="0"/>
              <w:snapToGrid w:val="0"/>
              <w:spacing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指标</w:t>
            </w:r>
          </w:p>
        </w:tc>
        <w:tc>
          <w:tcPr>
            <w:tcW w:w="322" w:type="pct"/>
            <w:noWrap w:val="0"/>
            <w:vAlign w:val="center"/>
          </w:tcPr>
          <w:p w14:paraId="7D070A9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1368" w:type="pct"/>
            <w:noWrap w:val="0"/>
            <w:vAlign w:val="center"/>
          </w:tcPr>
          <w:p w14:paraId="23BEDB0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码头长度</w:t>
            </w:r>
          </w:p>
        </w:tc>
        <w:tc>
          <w:tcPr>
            <w:tcW w:w="709" w:type="pct"/>
            <w:noWrap w:val="0"/>
            <w:vAlign w:val="center"/>
          </w:tcPr>
          <w:p w14:paraId="3AE9C32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04CC2F5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7EC2B5C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06EAB5B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c>
          <w:tcPr>
            <w:tcW w:w="432" w:type="pct"/>
            <w:tcBorders>
              <w:right w:val="nil"/>
            </w:tcBorders>
            <w:noWrap w:val="0"/>
            <w:vAlign w:val="center"/>
          </w:tcPr>
          <w:p w14:paraId="27A5B03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2E3B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15575A1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673FA5F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1368" w:type="pct"/>
            <w:noWrap w:val="0"/>
            <w:vAlign w:val="center"/>
          </w:tcPr>
          <w:p w14:paraId="27A610A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水域面积</w:t>
            </w:r>
          </w:p>
        </w:tc>
        <w:tc>
          <w:tcPr>
            <w:tcW w:w="709" w:type="pct"/>
            <w:noWrap w:val="0"/>
            <w:vAlign w:val="center"/>
          </w:tcPr>
          <w:p w14:paraId="02EDEA9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4358052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0EA43D8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517FA9F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c>
          <w:tcPr>
            <w:tcW w:w="432" w:type="pct"/>
            <w:tcBorders>
              <w:right w:val="nil"/>
            </w:tcBorders>
            <w:noWrap w:val="0"/>
            <w:vAlign w:val="center"/>
          </w:tcPr>
          <w:p w14:paraId="3B41764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60DC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tcBorders>
            <w:noWrap w:val="0"/>
            <w:vAlign w:val="center"/>
          </w:tcPr>
          <w:p w14:paraId="766DA1C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7320A6B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368" w:type="pct"/>
            <w:noWrap w:val="0"/>
            <w:vAlign w:val="center"/>
          </w:tcPr>
          <w:p w14:paraId="0DA4F473">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陆域面积</w:t>
            </w:r>
          </w:p>
        </w:tc>
        <w:tc>
          <w:tcPr>
            <w:tcW w:w="709" w:type="pct"/>
            <w:noWrap w:val="0"/>
            <w:vAlign w:val="center"/>
          </w:tcPr>
          <w:p w14:paraId="1406F59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22C0A52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07058D2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69E8C81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c>
          <w:tcPr>
            <w:tcW w:w="432" w:type="pct"/>
            <w:tcBorders>
              <w:right w:val="nil"/>
            </w:tcBorders>
            <w:noWrap w:val="0"/>
            <w:vAlign w:val="center"/>
          </w:tcPr>
          <w:p w14:paraId="7F22D20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0E36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restart"/>
            <w:tcBorders>
              <w:left w:val="nil"/>
              <w:bottom w:val="nil"/>
            </w:tcBorders>
            <w:noWrap w:val="0"/>
            <w:vAlign w:val="center"/>
          </w:tcPr>
          <w:p w14:paraId="7903B1B1">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服务</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pacing w:val="0"/>
                <w:kern w:val="0"/>
                <w:sz w:val="24"/>
                <w:szCs w:val="24"/>
              </w:rPr>
              <w:t>能力</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pacing w:val="0"/>
                <w:kern w:val="0"/>
                <w:sz w:val="24"/>
                <w:szCs w:val="24"/>
              </w:rPr>
              <w:t>指标</w:t>
            </w:r>
          </w:p>
        </w:tc>
        <w:tc>
          <w:tcPr>
            <w:tcW w:w="322" w:type="pct"/>
            <w:noWrap w:val="0"/>
            <w:vAlign w:val="center"/>
          </w:tcPr>
          <w:p w14:paraId="336C40F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368" w:type="pct"/>
            <w:noWrap w:val="0"/>
            <w:vAlign w:val="center"/>
          </w:tcPr>
          <w:p w14:paraId="3C283D24">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可靠泊渔船能力</w:t>
            </w:r>
          </w:p>
        </w:tc>
        <w:tc>
          <w:tcPr>
            <w:tcW w:w="709" w:type="pct"/>
            <w:noWrap w:val="0"/>
            <w:vAlign w:val="center"/>
          </w:tcPr>
          <w:p w14:paraId="691F863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0ECAD05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006207B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0C04912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432" w:type="pct"/>
            <w:tcBorders>
              <w:right w:val="nil"/>
            </w:tcBorders>
            <w:noWrap w:val="0"/>
            <w:vAlign w:val="center"/>
          </w:tcPr>
          <w:p w14:paraId="2C1D1F2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7A775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34150E9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52ACB2B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368" w:type="pct"/>
            <w:noWrap w:val="0"/>
            <w:vAlign w:val="center"/>
          </w:tcPr>
          <w:p w14:paraId="2CDD934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可容纳锚泊渔船数量</w:t>
            </w:r>
          </w:p>
        </w:tc>
        <w:tc>
          <w:tcPr>
            <w:tcW w:w="709" w:type="pct"/>
            <w:noWrap w:val="0"/>
            <w:vAlign w:val="center"/>
          </w:tcPr>
          <w:p w14:paraId="73B0CB0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3C1A2DA3">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0077A6C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1B5BC36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8*</w:t>
            </w:r>
          </w:p>
        </w:tc>
        <w:tc>
          <w:tcPr>
            <w:tcW w:w="432" w:type="pct"/>
            <w:tcBorders>
              <w:right w:val="nil"/>
            </w:tcBorders>
            <w:noWrap w:val="0"/>
            <w:vAlign w:val="center"/>
          </w:tcPr>
          <w:p w14:paraId="65ABBF08">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20B9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tcBorders>
            <w:noWrap w:val="0"/>
            <w:vAlign w:val="center"/>
          </w:tcPr>
          <w:p w14:paraId="6C89CC6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71C8EE8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1368" w:type="pct"/>
            <w:noWrap w:val="0"/>
            <w:vAlign w:val="center"/>
          </w:tcPr>
          <w:p w14:paraId="22156F0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渔获物年卸港量</w:t>
            </w:r>
          </w:p>
        </w:tc>
        <w:tc>
          <w:tcPr>
            <w:tcW w:w="709" w:type="pct"/>
            <w:noWrap w:val="0"/>
            <w:vAlign w:val="center"/>
          </w:tcPr>
          <w:p w14:paraId="239934F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142BDB7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0C285717">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4B2993CC">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7*</w:t>
            </w:r>
          </w:p>
        </w:tc>
        <w:tc>
          <w:tcPr>
            <w:tcW w:w="432" w:type="pct"/>
            <w:tcBorders>
              <w:right w:val="nil"/>
            </w:tcBorders>
            <w:noWrap w:val="0"/>
            <w:vAlign w:val="center"/>
          </w:tcPr>
          <w:p w14:paraId="1659B04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5711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restart"/>
            <w:tcBorders>
              <w:left w:val="nil"/>
              <w:bottom w:val="nil"/>
            </w:tcBorders>
            <w:noWrap w:val="0"/>
            <w:vAlign w:val="center"/>
          </w:tcPr>
          <w:p w14:paraId="129EC18C">
            <w:pPr>
              <w:adjustRightInd w:val="0"/>
              <w:snapToGrid w:val="0"/>
              <w:spacing w:before="0" w:beforeLines="0" w:afterLines="0" w:line="240" w:lineRule="auto"/>
              <w:ind w:left="0" w:righ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监管</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pacing w:val="0"/>
                <w:kern w:val="0"/>
                <w:sz w:val="24"/>
                <w:szCs w:val="24"/>
              </w:rPr>
              <w:t>能力</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spacing w:val="0"/>
                <w:kern w:val="0"/>
                <w:sz w:val="24"/>
                <w:szCs w:val="24"/>
              </w:rPr>
              <w:t>指标</w:t>
            </w:r>
          </w:p>
        </w:tc>
        <w:tc>
          <w:tcPr>
            <w:tcW w:w="322" w:type="pct"/>
            <w:noWrap w:val="0"/>
            <w:vAlign w:val="center"/>
          </w:tcPr>
          <w:p w14:paraId="18D5123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10</w:t>
            </w:r>
          </w:p>
        </w:tc>
        <w:tc>
          <w:tcPr>
            <w:tcW w:w="1368" w:type="pct"/>
            <w:noWrap w:val="0"/>
            <w:vAlign w:val="center"/>
          </w:tcPr>
          <w:p w14:paraId="79E97CA6">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渔港监督管理机构</w:t>
            </w:r>
          </w:p>
        </w:tc>
        <w:tc>
          <w:tcPr>
            <w:tcW w:w="709" w:type="pct"/>
            <w:noWrap w:val="0"/>
            <w:vAlign w:val="center"/>
          </w:tcPr>
          <w:p w14:paraId="6AFFD0F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5B89798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6B339F9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5EE3B0C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6*</w:t>
            </w:r>
          </w:p>
        </w:tc>
        <w:tc>
          <w:tcPr>
            <w:tcW w:w="432" w:type="pct"/>
            <w:tcBorders>
              <w:right w:val="nil"/>
            </w:tcBorders>
            <w:noWrap w:val="0"/>
            <w:vAlign w:val="center"/>
          </w:tcPr>
          <w:p w14:paraId="488558F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46C0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7074DCA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5718722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11</w:t>
            </w:r>
          </w:p>
        </w:tc>
        <w:tc>
          <w:tcPr>
            <w:tcW w:w="1368" w:type="pct"/>
            <w:noWrap w:val="0"/>
            <w:vAlign w:val="center"/>
          </w:tcPr>
          <w:p w14:paraId="6B6B31B1">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港务管理机构</w:t>
            </w:r>
          </w:p>
        </w:tc>
        <w:tc>
          <w:tcPr>
            <w:tcW w:w="709" w:type="pct"/>
            <w:noWrap w:val="0"/>
            <w:vAlign w:val="center"/>
          </w:tcPr>
          <w:p w14:paraId="01C3274E">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5CA9541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6A4D2C0C">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1741B08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6*</w:t>
            </w:r>
          </w:p>
        </w:tc>
        <w:tc>
          <w:tcPr>
            <w:tcW w:w="432" w:type="pct"/>
            <w:tcBorders>
              <w:right w:val="nil"/>
            </w:tcBorders>
            <w:noWrap w:val="0"/>
            <w:vAlign w:val="center"/>
          </w:tcPr>
          <w:p w14:paraId="40D610D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61C2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4318D67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191CEBA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12</w:t>
            </w:r>
          </w:p>
        </w:tc>
        <w:tc>
          <w:tcPr>
            <w:tcW w:w="1368" w:type="pct"/>
            <w:noWrap w:val="0"/>
            <w:vAlign w:val="center"/>
          </w:tcPr>
          <w:p w14:paraId="4B22311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渔港综合管理服务中心</w:t>
            </w:r>
          </w:p>
        </w:tc>
        <w:tc>
          <w:tcPr>
            <w:tcW w:w="709" w:type="pct"/>
            <w:noWrap w:val="0"/>
            <w:vAlign w:val="center"/>
          </w:tcPr>
          <w:p w14:paraId="68440CC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4EA199C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6466AEB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19DDA05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432" w:type="pct"/>
            <w:tcBorders>
              <w:right w:val="nil"/>
            </w:tcBorders>
            <w:noWrap w:val="0"/>
            <w:vAlign w:val="center"/>
          </w:tcPr>
          <w:p w14:paraId="5F33532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726A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0DD44A7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736FF61E">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13</w:t>
            </w:r>
          </w:p>
        </w:tc>
        <w:tc>
          <w:tcPr>
            <w:tcW w:w="1368" w:type="pct"/>
            <w:noWrap w:val="0"/>
            <w:vAlign w:val="center"/>
          </w:tcPr>
          <w:p w14:paraId="284D990B">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渔船动态监控管理</w:t>
            </w:r>
          </w:p>
        </w:tc>
        <w:tc>
          <w:tcPr>
            <w:tcW w:w="709" w:type="pct"/>
            <w:noWrap w:val="0"/>
            <w:vAlign w:val="center"/>
          </w:tcPr>
          <w:p w14:paraId="06AF9A7D">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4793F2F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2D01CB4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5742EDA7">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4*</w:t>
            </w:r>
          </w:p>
        </w:tc>
        <w:tc>
          <w:tcPr>
            <w:tcW w:w="432" w:type="pct"/>
            <w:tcBorders>
              <w:right w:val="nil"/>
            </w:tcBorders>
            <w:noWrap w:val="0"/>
            <w:vAlign w:val="center"/>
          </w:tcPr>
          <w:p w14:paraId="6A3CA49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7DEB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202F6ED2">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3D08D63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14</w:t>
            </w:r>
          </w:p>
        </w:tc>
        <w:tc>
          <w:tcPr>
            <w:tcW w:w="1368" w:type="pct"/>
            <w:noWrap w:val="0"/>
            <w:vAlign w:val="center"/>
          </w:tcPr>
          <w:p w14:paraId="36D160D2">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渔港视频监控</w:t>
            </w:r>
          </w:p>
        </w:tc>
        <w:tc>
          <w:tcPr>
            <w:tcW w:w="709" w:type="pct"/>
            <w:noWrap w:val="0"/>
            <w:vAlign w:val="center"/>
          </w:tcPr>
          <w:p w14:paraId="64DC55D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3256BCBA">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68F81AC1">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3CC92CF5">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432" w:type="pct"/>
            <w:tcBorders>
              <w:right w:val="nil"/>
            </w:tcBorders>
            <w:noWrap w:val="0"/>
            <w:vAlign w:val="center"/>
          </w:tcPr>
          <w:p w14:paraId="0BF0015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10A0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bottom w:val="nil"/>
            </w:tcBorders>
            <w:noWrap w:val="0"/>
            <w:vAlign w:val="center"/>
          </w:tcPr>
          <w:p w14:paraId="2D599D6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3FD8217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15</w:t>
            </w:r>
          </w:p>
        </w:tc>
        <w:tc>
          <w:tcPr>
            <w:tcW w:w="1368" w:type="pct"/>
            <w:noWrap w:val="0"/>
            <w:vAlign w:val="center"/>
          </w:tcPr>
          <w:p w14:paraId="6523664A">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污染防治设施</w:t>
            </w:r>
          </w:p>
        </w:tc>
        <w:tc>
          <w:tcPr>
            <w:tcW w:w="709" w:type="pct"/>
            <w:noWrap w:val="0"/>
            <w:vAlign w:val="center"/>
          </w:tcPr>
          <w:p w14:paraId="135E7BD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07B3A67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682BADE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5BBA1290">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432" w:type="pct"/>
            <w:tcBorders>
              <w:right w:val="nil"/>
            </w:tcBorders>
            <w:noWrap w:val="0"/>
            <w:vAlign w:val="center"/>
          </w:tcPr>
          <w:p w14:paraId="02530786">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6041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390" w:type="pct"/>
            <w:vMerge w:val="continue"/>
            <w:tcBorders>
              <w:top w:val="nil"/>
              <w:left w:val="nil"/>
            </w:tcBorders>
            <w:noWrap w:val="0"/>
            <w:vAlign w:val="center"/>
          </w:tcPr>
          <w:p w14:paraId="2C1957E9">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322" w:type="pct"/>
            <w:noWrap w:val="0"/>
            <w:vAlign w:val="center"/>
          </w:tcPr>
          <w:p w14:paraId="73410959">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16</w:t>
            </w:r>
          </w:p>
        </w:tc>
        <w:tc>
          <w:tcPr>
            <w:tcW w:w="1368" w:type="pct"/>
            <w:noWrap w:val="0"/>
            <w:vAlign w:val="center"/>
          </w:tcPr>
          <w:p w14:paraId="528199CF">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应急管理设施</w:t>
            </w:r>
          </w:p>
        </w:tc>
        <w:tc>
          <w:tcPr>
            <w:tcW w:w="709" w:type="pct"/>
            <w:noWrap w:val="0"/>
            <w:vAlign w:val="center"/>
          </w:tcPr>
          <w:p w14:paraId="113260C0">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805" w:type="pct"/>
            <w:noWrap w:val="0"/>
            <w:vAlign w:val="center"/>
          </w:tcPr>
          <w:p w14:paraId="62BF3F9B">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1" w:type="pct"/>
            <w:noWrap w:val="0"/>
            <w:vAlign w:val="center"/>
          </w:tcPr>
          <w:p w14:paraId="785F90C4">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c>
          <w:tcPr>
            <w:tcW w:w="486" w:type="pct"/>
            <w:noWrap w:val="0"/>
            <w:vAlign w:val="center"/>
          </w:tcPr>
          <w:p w14:paraId="481A463D">
            <w:pPr>
              <w:adjustRightInd w:val="0"/>
              <w:snapToGrid w:val="0"/>
              <w:spacing w:before="0" w:beforeLines="0" w:afterLines="0" w:line="240" w:lineRule="auto"/>
              <w:ind w:lef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432" w:type="pct"/>
            <w:tcBorders>
              <w:right w:val="nil"/>
            </w:tcBorders>
            <w:noWrap w:val="0"/>
            <w:vAlign w:val="center"/>
          </w:tcPr>
          <w:p w14:paraId="391500C5">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r w14:paraId="01D5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4567" w:type="pct"/>
            <w:gridSpan w:val="7"/>
            <w:tcBorders>
              <w:left w:val="nil"/>
            </w:tcBorders>
            <w:noWrap w:val="0"/>
            <w:vAlign w:val="center"/>
          </w:tcPr>
          <w:p w14:paraId="2A4CDA82">
            <w:pPr>
              <w:adjustRightInd w:val="0"/>
              <w:snapToGrid w:val="0"/>
              <w:spacing w:before="0" w:beforeLines="0" w:afterLines="0" w:line="240" w:lineRule="auto"/>
              <w:ind w:right="0" w:firstLine="0" w:firstLineChars="0"/>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spacing w:val="0"/>
                <w:kern w:val="0"/>
                <w:sz w:val="24"/>
                <w:szCs w:val="24"/>
              </w:rPr>
              <w:t>渔港指标参数满足所有约束性指标标准，综合得分</w:t>
            </w:r>
          </w:p>
        </w:tc>
        <w:tc>
          <w:tcPr>
            <w:tcW w:w="432" w:type="pct"/>
            <w:tcBorders>
              <w:right w:val="nil"/>
            </w:tcBorders>
            <w:noWrap w:val="0"/>
            <w:vAlign w:val="center"/>
          </w:tcPr>
          <w:p w14:paraId="00B8332F">
            <w:pPr>
              <w:adjustRightInd w:val="0"/>
              <w:snapToGrid w:val="0"/>
              <w:spacing w:beforeLines="0" w:afterLines="0" w:line="240" w:lineRule="auto"/>
              <w:ind w:firstLine="0" w:firstLineChars="0"/>
              <w:jc w:val="center"/>
              <w:rPr>
                <w:rFonts w:hint="eastAsia" w:ascii="仿宋_GB2312" w:hAnsi="仿宋_GB2312" w:eastAsia="仿宋_GB2312" w:cs="仿宋_GB2312"/>
                <w:color w:val="auto"/>
                <w:kern w:val="0"/>
                <w:sz w:val="24"/>
                <w:szCs w:val="24"/>
              </w:rPr>
            </w:pPr>
          </w:p>
        </w:tc>
      </w:tr>
    </w:tbl>
    <w:p w14:paraId="11D853EE">
      <w:pPr>
        <w:widowControl w:val="0"/>
        <w:kinsoku/>
        <w:autoSpaceDE/>
        <w:autoSpaceDN/>
        <w:adjustRightInd w:val="0"/>
        <w:snapToGrid w:val="0"/>
        <w:spacing w:before="0" w:beforeLines="0" w:after="0" w:afterLines="0" w:line="560" w:lineRule="exact"/>
        <w:ind w:firstLine="0" w:firstLineChars="0"/>
        <w:jc w:val="center"/>
        <w:textAlignment w:val="baseline"/>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 w:val="32"/>
          <w:szCs w:val="32"/>
        </w:rPr>
        <w:t>第二章</w:t>
      </w:r>
      <w:r>
        <w:rPr>
          <w:rFonts w:hint="eastAsia" w:ascii="黑体" w:hAnsi="黑体" w:eastAsia="黑体" w:cs="黑体"/>
          <w:snapToGrid w:val="0"/>
          <w:color w:val="auto"/>
          <w:kern w:val="0"/>
          <w:sz w:val="32"/>
          <w:szCs w:val="32"/>
          <w:lang w:val="en-US" w:eastAsia="zh-CN"/>
        </w:rPr>
        <w:t xml:space="preserve"> </w:t>
      </w:r>
      <w:r>
        <w:rPr>
          <w:rFonts w:hint="eastAsia" w:ascii="黑体" w:hAnsi="黑体" w:eastAsia="黑体" w:cs="黑体"/>
          <w:snapToGrid w:val="0"/>
          <w:color w:val="auto"/>
          <w:kern w:val="0"/>
          <w:sz w:val="32"/>
          <w:szCs w:val="32"/>
        </w:rPr>
        <w:t xml:space="preserve"> 渔港基本情况</w:t>
      </w:r>
    </w:p>
    <w:p w14:paraId="412A0E60">
      <w:pPr>
        <w:adjustRightInd w:val="0"/>
        <w:snapToGrid w:val="0"/>
        <w:spacing w:beforeLines="0" w:afterLines="0" w:line="56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2.1 渔港地理位置。</w:t>
      </w:r>
      <w:r>
        <w:rPr>
          <w:rFonts w:hint="eastAsia" w:ascii="仿宋_GB2312" w:hAnsi="仿宋_GB2312" w:eastAsia="仿宋_GB2312" w:cs="仿宋_GB2312"/>
          <w:snapToGrid w:val="0"/>
          <w:color w:val="auto"/>
          <w:kern w:val="0"/>
          <w:sz w:val="32"/>
          <w:szCs w:val="32"/>
        </w:rPr>
        <w:t>详细论述渔港所在地理位置、行政区属，具体到乡镇、社区；提供准确的地理坐标，便于定位查询。</w:t>
      </w:r>
    </w:p>
    <w:p w14:paraId="08CE7D64">
      <w:pPr>
        <w:adjustRightInd w:val="0"/>
        <w:snapToGrid w:val="0"/>
        <w:spacing w:beforeLines="0" w:afterLines="0" w:line="56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2.2 渔港历史沿革。</w:t>
      </w:r>
      <w:r>
        <w:rPr>
          <w:rFonts w:hint="eastAsia" w:ascii="仿宋_GB2312" w:hAnsi="仿宋_GB2312" w:eastAsia="仿宋_GB2312" w:cs="仿宋_GB2312"/>
          <w:snapToGrid w:val="0"/>
          <w:color w:val="auto"/>
          <w:kern w:val="0"/>
          <w:sz w:val="32"/>
          <w:szCs w:val="32"/>
        </w:rPr>
        <w:t>简述渔港由来及各建设阶段情况。</w:t>
      </w:r>
    </w:p>
    <w:p w14:paraId="52D72A2F">
      <w:pPr>
        <w:adjustRightInd w:val="0"/>
        <w:snapToGrid w:val="0"/>
        <w:spacing w:beforeLines="0" w:afterLines="0" w:line="56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2.3 渔港现状。</w:t>
      </w:r>
      <w:r>
        <w:rPr>
          <w:rFonts w:hint="eastAsia" w:ascii="仿宋_GB2312" w:hAnsi="仿宋_GB2312" w:eastAsia="仿宋_GB2312" w:cs="仿宋_GB2312"/>
          <w:snapToGrid w:val="0"/>
          <w:color w:val="auto"/>
          <w:kern w:val="0"/>
          <w:sz w:val="32"/>
          <w:szCs w:val="32"/>
        </w:rPr>
        <w:t>详细介绍渔港现状情况，主要包括渔港港界范围内水陆域情况、岸线情况、设施设备情况、监管运营机构及人员队伍和相关制度制定情况。</w:t>
      </w:r>
    </w:p>
    <w:p w14:paraId="50B3DA5E">
      <w:pPr>
        <w:adjustRightInd w:val="0"/>
        <w:snapToGrid w:val="0"/>
        <w:spacing w:beforeLines="0" w:afterLines="0" w:line="56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2.4 渔港总体规划情况。</w:t>
      </w:r>
      <w:r>
        <w:rPr>
          <w:rFonts w:hint="eastAsia" w:ascii="仿宋_GB2312" w:hAnsi="仿宋_GB2312" w:eastAsia="仿宋_GB2312" w:cs="仿宋_GB2312"/>
          <w:snapToGrid w:val="0"/>
          <w:color w:val="auto"/>
          <w:kern w:val="0"/>
          <w:sz w:val="32"/>
          <w:szCs w:val="32"/>
        </w:rPr>
        <w:t>简述未来5年发展规划情况。</w:t>
      </w:r>
    </w:p>
    <w:p w14:paraId="583F641C">
      <w:pPr>
        <w:widowControl w:val="0"/>
        <w:kinsoku/>
        <w:autoSpaceDE/>
        <w:autoSpaceDN/>
        <w:adjustRightInd w:val="0"/>
        <w:snapToGrid w:val="0"/>
        <w:spacing w:before="0" w:beforeLines="0" w:after="0" w:afterLines="0" w:line="560" w:lineRule="exact"/>
        <w:ind w:firstLine="640" w:firstLineChars="200"/>
        <w:jc w:val="both"/>
        <w:textAlignment w:val="baseline"/>
        <w:rPr>
          <w:rFonts w:hint="eastAsia" w:ascii="仿宋_GB2312" w:hAnsi="仿宋_GB2312" w:eastAsia="仿宋_GB2312" w:cs="仿宋_GB2312"/>
          <w:snapToGrid w:val="0"/>
          <w:color w:val="auto"/>
          <w:kern w:val="0"/>
          <w:sz w:val="32"/>
          <w:szCs w:val="32"/>
        </w:rPr>
      </w:pPr>
    </w:p>
    <w:p w14:paraId="62F4F290">
      <w:pPr>
        <w:widowControl w:val="0"/>
        <w:kinsoku/>
        <w:autoSpaceDE/>
        <w:autoSpaceDN/>
        <w:adjustRightInd w:val="0"/>
        <w:snapToGrid w:val="0"/>
        <w:spacing w:before="0" w:beforeLines="0" w:after="0" w:afterLines="0" w:line="560" w:lineRule="exact"/>
        <w:ind w:firstLine="0" w:firstLineChars="0"/>
        <w:jc w:val="center"/>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第三章 基础指标分析</w:t>
      </w:r>
    </w:p>
    <w:p w14:paraId="26A57EA6">
      <w:pPr>
        <w:adjustRightInd w:val="0"/>
        <w:snapToGrid w:val="0"/>
        <w:spacing w:beforeLines="0" w:afterLines="0" w:line="56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3.1 渔港港章港界。</w:t>
      </w:r>
      <w:r>
        <w:rPr>
          <w:rFonts w:hint="eastAsia" w:ascii="仿宋_GB2312" w:hAnsi="仿宋_GB2312" w:eastAsia="仿宋_GB2312" w:cs="仿宋_GB2312"/>
          <w:snapToGrid w:val="0"/>
          <w:color w:val="auto"/>
          <w:kern w:val="0"/>
          <w:sz w:val="32"/>
          <w:szCs w:val="32"/>
        </w:rPr>
        <w:t>详述渔港港章、港界发文情况，明确文件名及发文号；简述港章港界内容，明确是否与渔港现状及总体规划相符；明确是否符合认定标准。</w:t>
      </w:r>
    </w:p>
    <w:p w14:paraId="6C32676A">
      <w:pPr>
        <w:adjustRightInd w:val="0"/>
        <w:snapToGrid w:val="0"/>
        <w:spacing w:beforeLines="0" w:afterLines="0" w:line="56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3.2 界限标识。</w:t>
      </w:r>
      <w:r>
        <w:rPr>
          <w:rFonts w:hint="eastAsia" w:ascii="仿宋_GB2312" w:hAnsi="仿宋_GB2312" w:eastAsia="仿宋_GB2312" w:cs="仿宋_GB2312"/>
          <w:snapToGrid w:val="0"/>
          <w:color w:val="auto"/>
          <w:kern w:val="0"/>
          <w:sz w:val="32"/>
          <w:szCs w:val="32"/>
        </w:rPr>
        <w:t>渔港陆域标识牌或界碑数量、位置和标识内容。渔港水域标识浮标或电子围栏的设置情况及位置。明确是否符合认定标准。</w:t>
      </w:r>
    </w:p>
    <w:p w14:paraId="71A34788">
      <w:pPr>
        <w:adjustRightInd w:val="0"/>
        <w:snapToGrid w:val="0"/>
        <w:spacing w:beforeLines="0" w:afterLines="0" w:line="560" w:lineRule="exact"/>
        <w:ind w:firstLine="643" w:firstLineChars="200"/>
        <w:textAlignment w:val="baseline"/>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 w:val="32"/>
          <w:szCs w:val="32"/>
        </w:rPr>
        <w:t>3.3 权属清单。</w:t>
      </w:r>
      <w:r>
        <w:rPr>
          <w:rFonts w:hint="eastAsia" w:ascii="仿宋_GB2312" w:hAnsi="仿宋_GB2312" w:eastAsia="仿宋_GB2312" w:cs="仿宋_GB2312"/>
          <w:snapToGrid w:val="0"/>
          <w:color w:val="auto"/>
          <w:kern w:val="0"/>
          <w:sz w:val="32"/>
          <w:szCs w:val="32"/>
        </w:rPr>
        <w:t>详述渔港水陆域建筑物、构筑物、设施设备权属情况，并梳理汇总分析，制定能清晰、完整地反映渔港权属关系的清单，包括管理权、经营权、所有权。权属清单参照本标准附录3编制</w:t>
      </w:r>
      <w:r>
        <w:rPr>
          <w:rFonts w:hint="eastAsia" w:ascii="仿宋_GB2312" w:hAnsi="仿宋_GB2312" w:eastAsia="仿宋_GB2312" w:cs="仿宋_GB2312"/>
          <w:snapToGrid w:val="0"/>
          <w:color w:val="auto"/>
          <w:spacing w:val="0"/>
          <w:kern w:val="0"/>
          <w:sz w:val="32"/>
          <w:szCs w:val="32"/>
        </w:rPr>
        <w:t>。</w:t>
      </w:r>
    </w:p>
    <w:p w14:paraId="617D980C">
      <w:pPr>
        <w:widowControl w:val="0"/>
        <w:kinsoku/>
        <w:autoSpaceDE/>
        <w:autoSpaceDN/>
        <w:adjustRightInd w:val="0"/>
        <w:snapToGrid w:val="0"/>
        <w:spacing w:before="0" w:beforeLines="0" w:after="0" w:afterLines="0" w:line="560" w:lineRule="exact"/>
        <w:ind w:firstLine="0" w:firstLineChars="0"/>
        <w:jc w:val="both"/>
        <w:textAlignment w:val="baseline"/>
        <w:rPr>
          <w:rFonts w:hint="eastAsia" w:ascii="仿宋_GB2312" w:hAnsi="仿宋_GB2312" w:eastAsia="仿宋_GB2312" w:cs="仿宋_GB2312"/>
          <w:snapToGrid w:val="0"/>
          <w:color w:val="auto"/>
          <w:kern w:val="0"/>
          <w:sz w:val="32"/>
          <w:szCs w:val="32"/>
        </w:rPr>
      </w:pPr>
    </w:p>
    <w:p w14:paraId="6F824B0A">
      <w:pPr>
        <w:widowControl w:val="0"/>
        <w:kinsoku/>
        <w:autoSpaceDE/>
        <w:autoSpaceDN/>
        <w:adjustRightInd w:val="0"/>
        <w:snapToGrid w:val="0"/>
        <w:spacing w:before="0" w:beforeLines="0" w:after="0" w:afterLines="0" w:line="560" w:lineRule="exact"/>
        <w:ind w:firstLine="0" w:firstLineChars="0"/>
        <w:jc w:val="center"/>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第四章  规模指标分析</w:t>
      </w:r>
    </w:p>
    <w:p w14:paraId="383F5F8F">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4.1 码头长度。</w:t>
      </w:r>
      <w:r>
        <w:rPr>
          <w:rFonts w:hint="eastAsia" w:ascii="仿宋_GB2312" w:hAnsi="仿宋_GB2312" w:eastAsia="仿宋_GB2312" w:cs="仿宋_GB2312"/>
          <w:snapToGrid w:val="0"/>
          <w:color w:val="auto"/>
          <w:kern w:val="0"/>
          <w:sz w:val="32"/>
          <w:szCs w:val="32"/>
        </w:rPr>
        <w:t>详述码头长度、数据来源，明确是否符合认定标准。</w:t>
      </w:r>
    </w:p>
    <w:p w14:paraId="5C287681">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4.2 水域面积。</w:t>
      </w:r>
      <w:r>
        <w:rPr>
          <w:rFonts w:hint="eastAsia" w:ascii="仿宋_GB2312" w:hAnsi="仿宋_GB2312" w:eastAsia="仿宋_GB2312" w:cs="仿宋_GB2312"/>
          <w:snapToGrid w:val="0"/>
          <w:color w:val="auto"/>
          <w:kern w:val="0"/>
          <w:sz w:val="32"/>
          <w:szCs w:val="32"/>
        </w:rPr>
        <w:t>详述渔港水域构成、面积、数据来源，明确是否符合认定标准。</w:t>
      </w:r>
    </w:p>
    <w:p w14:paraId="75935E78">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Cs w:val="32"/>
        </w:rPr>
      </w:pPr>
      <w:r>
        <w:rPr>
          <w:rFonts w:hint="eastAsia" w:ascii="仿宋_GB2312" w:hAnsi="仿宋_GB2312" w:eastAsia="仿宋_GB2312" w:cs="仿宋_GB2312"/>
          <w:b/>
          <w:bCs/>
          <w:snapToGrid w:val="0"/>
          <w:color w:val="auto"/>
          <w:kern w:val="0"/>
          <w:sz w:val="32"/>
          <w:szCs w:val="32"/>
        </w:rPr>
        <w:t>4.3 陆域面积。</w:t>
      </w:r>
      <w:r>
        <w:rPr>
          <w:rFonts w:hint="eastAsia" w:ascii="仿宋_GB2312" w:hAnsi="仿宋_GB2312" w:eastAsia="仿宋_GB2312" w:cs="仿宋_GB2312"/>
          <w:snapToGrid w:val="0"/>
          <w:color w:val="auto"/>
          <w:kern w:val="0"/>
          <w:sz w:val="32"/>
          <w:szCs w:val="32"/>
        </w:rPr>
        <w:t>详述渔港陆域构成、面积、数据来源，明确是否符合认定标准。</w:t>
      </w:r>
    </w:p>
    <w:p w14:paraId="50740D99">
      <w:pPr>
        <w:widowControl w:val="0"/>
        <w:kinsoku/>
        <w:autoSpaceDE/>
        <w:autoSpaceDN/>
        <w:adjustRightInd w:val="0"/>
        <w:snapToGrid w:val="0"/>
        <w:spacing w:before="0" w:beforeLines="0" w:after="0" w:afterLines="0" w:line="590" w:lineRule="exact"/>
        <w:ind w:firstLine="640" w:firstLineChars="200"/>
        <w:jc w:val="both"/>
        <w:textAlignment w:val="baseline"/>
        <w:rPr>
          <w:rFonts w:hint="eastAsia" w:ascii="仿宋_GB2312" w:hAnsi="仿宋_GB2312" w:eastAsia="仿宋_GB2312" w:cs="仿宋_GB2312"/>
          <w:snapToGrid w:val="0"/>
          <w:color w:val="auto"/>
          <w:kern w:val="0"/>
          <w:sz w:val="32"/>
          <w:szCs w:val="32"/>
        </w:rPr>
      </w:pPr>
    </w:p>
    <w:p w14:paraId="7AAD98E7">
      <w:pPr>
        <w:widowControl w:val="0"/>
        <w:kinsoku/>
        <w:autoSpaceDE/>
        <w:autoSpaceDN/>
        <w:adjustRightInd w:val="0"/>
        <w:snapToGrid w:val="0"/>
        <w:spacing w:before="0" w:beforeLines="0" w:after="0" w:afterLines="0" w:line="590" w:lineRule="exact"/>
        <w:ind w:firstLine="0" w:firstLineChars="0"/>
        <w:jc w:val="center"/>
        <w:textAlignment w:val="baseline"/>
        <w:rPr>
          <w:rFonts w:hint="eastAsia" w:ascii="黑体" w:hAnsi="黑体" w:eastAsia="黑体" w:cs="黑体"/>
          <w:snapToGrid w:val="0"/>
          <w:color w:val="auto"/>
          <w:kern w:val="0"/>
          <w:szCs w:val="32"/>
        </w:rPr>
      </w:pPr>
      <w:r>
        <w:rPr>
          <w:rFonts w:hint="eastAsia" w:ascii="黑体" w:hAnsi="黑体" w:eastAsia="黑体" w:cs="黑体"/>
          <w:snapToGrid w:val="0"/>
          <w:color w:val="auto"/>
          <w:kern w:val="0"/>
          <w:sz w:val="32"/>
          <w:szCs w:val="32"/>
        </w:rPr>
        <w:t>第五章  服务能力指标分析</w:t>
      </w:r>
    </w:p>
    <w:p w14:paraId="01041537">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5.1 可靠泊渔船能力。</w:t>
      </w:r>
      <w:r>
        <w:rPr>
          <w:rFonts w:hint="eastAsia" w:ascii="仿宋_GB2312" w:hAnsi="仿宋_GB2312" w:eastAsia="仿宋_GB2312" w:cs="仿宋_GB2312"/>
          <w:snapToGrid w:val="0"/>
          <w:color w:val="auto"/>
          <w:kern w:val="0"/>
          <w:sz w:val="32"/>
          <w:szCs w:val="32"/>
        </w:rPr>
        <w:t>明确渔港可靠泊最大渔船类型，提供数据来源，明确是否符合认定标准。</w:t>
      </w:r>
    </w:p>
    <w:p w14:paraId="25809C1F">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5.2 可容纳锚泊渔船数量。</w:t>
      </w:r>
      <w:r>
        <w:rPr>
          <w:rFonts w:hint="eastAsia" w:ascii="仿宋_GB2312" w:hAnsi="仿宋_GB2312" w:eastAsia="仿宋_GB2312" w:cs="仿宋_GB2312"/>
          <w:snapToGrid w:val="0"/>
          <w:color w:val="auto"/>
          <w:kern w:val="0"/>
          <w:sz w:val="32"/>
          <w:szCs w:val="32"/>
        </w:rPr>
        <w:t>明确可容纳锚泊渔船数量，提供数据来源，明确是否符合认定标准。</w:t>
      </w:r>
    </w:p>
    <w:p w14:paraId="79B7194C">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5.3 渔获物年卸港量。</w:t>
      </w:r>
      <w:r>
        <w:rPr>
          <w:rFonts w:hint="eastAsia" w:ascii="仿宋_GB2312" w:hAnsi="仿宋_GB2312" w:eastAsia="仿宋_GB2312" w:cs="仿宋_GB2312"/>
          <w:snapToGrid w:val="0"/>
          <w:color w:val="auto"/>
          <w:kern w:val="0"/>
          <w:sz w:val="32"/>
          <w:szCs w:val="32"/>
        </w:rPr>
        <w:t>明确渔港渔获物年卸港量、数据来源、是否符合认定标准。</w:t>
      </w:r>
    </w:p>
    <w:p w14:paraId="67D99BD3">
      <w:pPr>
        <w:widowControl w:val="0"/>
        <w:kinsoku/>
        <w:autoSpaceDE/>
        <w:autoSpaceDN/>
        <w:adjustRightInd w:val="0"/>
        <w:snapToGrid w:val="0"/>
        <w:spacing w:before="0" w:beforeLines="0" w:after="0" w:afterLines="0" w:line="590" w:lineRule="exact"/>
        <w:ind w:firstLine="640" w:firstLineChars="200"/>
        <w:jc w:val="both"/>
        <w:textAlignment w:val="baseline"/>
        <w:rPr>
          <w:rFonts w:hint="eastAsia" w:ascii="仿宋_GB2312" w:hAnsi="仿宋_GB2312" w:eastAsia="仿宋_GB2312" w:cs="仿宋_GB2312"/>
          <w:snapToGrid w:val="0"/>
          <w:color w:val="auto"/>
          <w:kern w:val="0"/>
          <w:sz w:val="32"/>
          <w:szCs w:val="32"/>
        </w:rPr>
      </w:pPr>
    </w:p>
    <w:p w14:paraId="214A5F6B">
      <w:pPr>
        <w:widowControl w:val="0"/>
        <w:kinsoku/>
        <w:autoSpaceDE/>
        <w:autoSpaceDN/>
        <w:adjustRightInd w:val="0"/>
        <w:snapToGrid w:val="0"/>
        <w:spacing w:before="0" w:beforeLines="0" w:after="0" w:afterLines="0" w:line="590" w:lineRule="exact"/>
        <w:ind w:firstLine="0" w:firstLineChars="0"/>
        <w:jc w:val="center"/>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第六章  监管能力指标分析</w:t>
      </w:r>
    </w:p>
    <w:p w14:paraId="05CEBFBB">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6.1 渔港监督管理机构。</w:t>
      </w:r>
      <w:r>
        <w:rPr>
          <w:rFonts w:hint="eastAsia" w:ascii="仿宋_GB2312" w:hAnsi="仿宋_GB2312" w:eastAsia="仿宋_GB2312" w:cs="仿宋_GB2312"/>
          <w:snapToGrid w:val="0"/>
          <w:color w:val="auto"/>
          <w:kern w:val="0"/>
          <w:sz w:val="32"/>
          <w:szCs w:val="32"/>
        </w:rPr>
        <w:t>详述渔港监督管理机构位置、名称、人员、制度、设施设备情况，以及驻港情况，明确是否符合认定标准。</w:t>
      </w:r>
    </w:p>
    <w:p w14:paraId="6245C278">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6.2 港务管理机构。</w:t>
      </w:r>
      <w:r>
        <w:rPr>
          <w:rFonts w:hint="eastAsia" w:ascii="仿宋_GB2312" w:hAnsi="仿宋_GB2312" w:eastAsia="仿宋_GB2312" w:cs="仿宋_GB2312"/>
          <w:snapToGrid w:val="0"/>
          <w:color w:val="auto"/>
          <w:kern w:val="0"/>
          <w:sz w:val="32"/>
          <w:szCs w:val="32"/>
        </w:rPr>
        <w:t>详述港务管理机构位置、名称、人员、制度、设施设备情况，以及物业管理情况及驻港情况，明确是否符合认定标准。</w:t>
      </w:r>
    </w:p>
    <w:p w14:paraId="6E3B3308">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6.3 渔港综合管理服务中心。</w:t>
      </w:r>
      <w:r>
        <w:rPr>
          <w:rFonts w:hint="eastAsia" w:ascii="仿宋_GB2312" w:hAnsi="仿宋_GB2312" w:eastAsia="仿宋_GB2312" w:cs="仿宋_GB2312"/>
          <w:snapToGrid w:val="0"/>
          <w:color w:val="auto"/>
          <w:kern w:val="0"/>
          <w:sz w:val="32"/>
          <w:szCs w:val="32"/>
        </w:rPr>
        <w:t>详述渔港综合管理服务中心位置、面积、功能设置、人员、制度、设施设备情况，明确是否符合认定标准。</w:t>
      </w:r>
    </w:p>
    <w:p w14:paraId="5F373F33">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6.4 渔船动态监控管理。</w:t>
      </w:r>
      <w:r>
        <w:rPr>
          <w:rFonts w:hint="eastAsia" w:ascii="仿宋_GB2312" w:hAnsi="仿宋_GB2312" w:eastAsia="仿宋_GB2312" w:cs="仿宋_GB2312"/>
          <w:snapToGrid w:val="0"/>
          <w:color w:val="auto"/>
          <w:kern w:val="0"/>
          <w:sz w:val="32"/>
          <w:szCs w:val="32"/>
        </w:rPr>
        <w:t>详述大中型渔船进出港报告系统运行情况，明确是否符合认定标准。</w:t>
      </w:r>
    </w:p>
    <w:p w14:paraId="142C1A5A">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6.5 渔港视频监控。</w:t>
      </w:r>
      <w:r>
        <w:rPr>
          <w:rFonts w:hint="eastAsia" w:ascii="仿宋_GB2312" w:hAnsi="仿宋_GB2312" w:eastAsia="仿宋_GB2312" w:cs="仿宋_GB2312"/>
          <w:snapToGrid w:val="0"/>
          <w:color w:val="auto"/>
          <w:kern w:val="0"/>
          <w:sz w:val="32"/>
          <w:szCs w:val="32"/>
        </w:rPr>
        <w:t>详述渔港视频监控系统控制中心及摄像头等设备的位置、运行情况、监控覆盖范围等，明确是否符合认定标准。</w:t>
      </w:r>
    </w:p>
    <w:p w14:paraId="2C674702">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6.6 污染防治设施。</w:t>
      </w:r>
      <w:r>
        <w:rPr>
          <w:rFonts w:hint="eastAsia" w:ascii="仿宋_GB2312" w:hAnsi="仿宋_GB2312" w:eastAsia="仿宋_GB2312" w:cs="仿宋_GB2312"/>
          <w:snapToGrid w:val="0"/>
          <w:color w:val="auto"/>
          <w:kern w:val="0"/>
          <w:sz w:val="32"/>
          <w:szCs w:val="32"/>
        </w:rPr>
        <w:t>详述渔港的污染防治设施配备情况，应符合《沿海渔港污染防治设施设备配备总体要求》等相关标准的要求，明确是否符合认定标准。</w:t>
      </w:r>
    </w:p>
    <w:p w14:paraId="1107D543">
      <w:pPr>
        <w:adjustRightInd w:val="0"/>
        <w:snapToGrid w:val="0"/>
        <w:spacing w:beforeLines="0" w:afterLines="0" w:line="590" w:lineRule="exact"/>
        <w:ind w:firstLine="643" w:firstLineChars="200"/>
        <w:textAlignment w:val="baseline"/>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6.7 应急管理设施。</w:t>
      </w:r>
      <w:r>
        <w:rPr>
          <w:rFonts w:hint="eastAsia" w:ascii="仿宋_GB2312" w:hAnsi="仿宋_GB2312" w:eastAsia="仿宋_GB2312" w:cs="仿宋_GB2312"/>
          <w:snapToGrid w:val="0"/>
          <w:color w:val="auto"/>
          <w:kern w:val="0"/>
          <w:sz w:val="32"/>
          <w:szCs w:val="32"/>
        </w:rPr>
        <w:t>详述渔港的消防设施配备情况，应符合《建筑防火通用规范》《广东省渔港（停泊区）渔船消防安全设施配备指引（试行）》（粤农农函〔2022〕937号）等相关标准，渔港的应急供电、救助等应满足渔港应急管理需求，明确是否符合认定标准。</w:t>
      </w:r>
    </w:p>
    <w:p w14:paraId="4F705D9C">
      <w:pPr>
        <w:widowControl w:val="0"/>
        <w:kinsoku/>
        <w:autoSpaceDE/>
        <w:autoSpaceDN/>
        <w:adjustRightInd w:val="0"/>
        <w:snapToGrid w:val="0"/>
        <w:spacing w:before="0" w:beforeLines="0" w:after="0" w:afterLines="0" w:line="590" w:lineRule="exact"/>
        <w:ind w:firstLine="640" w:firstLineChars="200"/>
        <w:jc w:val="both"/>
        <w:textAlignment w:val="baseline"/>
        <w:rPr>
          <w:rFonts w:hint="eastAsia" w:ascii="仿宋_GB2312" w:hAnsi="仿宋_GB2312" w:eastAsia="仿宋_GB2312" w:cs="仿宋_GB2312"/>
          <w:snapToGrid w:val="0"/>
          <w:color w:val="auto"/>
          <w:kern w:val="0"/>
          <w:sz w:val="32"/>
          <w:szCs w:val="32"/>
        </w:rPr>
      </w:pPr>
    </w:p>
    <w:p w14:paraId="60E1EE02">
      <w:pPr>
        <w:widowControl w:val="0"/>
        <w:kinsoku/>
        <w:autoSpaceDE/>
        <w:autoSpaceDN/>
        <w:adjustRightInd w:val="0"/>
        <w:snapToGrid w:val="0"/>
        <w:spacing w:before="0" w:beforeLines="0" w:after="0" w:afterLines="0" w:line="590" w:lineRule="exact"/>
        <w:ind w:firstLine="0" w:firstLineChars="0"/>
        <w:jc w:val="center"/>
        <w:textAlignment w:val="baseline"/>
        <w:rPr>
          <w:rFonts w:hint="eastAsia" w:ascii="黑体" w:hAnsi="黑体" w:eastAsia="黑体" w:cs="黑体"/>
          <w:snapToGrid w:val="0"/>
          <w:color w:val="auto"/>
          <w:kern w:val="0"/>
          <w:sz w:val="32"/>
          <w:szCs w:val="32"/>
        </w:rPr>
      </w:pPr>
      <w:r>
        <w:rPr>
          <w:rFonts w:hint="eastAsia" w:ascii="黑体" w:hAnsi="黑体" w:eastAsia="黑体" w:cs="黑体"/>
          <w:snapToGrid w:val="0"/>
          <w:color w:val="auto"/>
          <w:kern w:val="0"/>
          <w:sz w:val="32"/>
          <w:szCs w:val="32"/>
        </w:rPr>
        <w:t>第七章  渔港等级认定证明材料</w:t>
      </w:r>
    </w:p>
    <w:p w14:paraId="0884D7BB">
      <w:pPr>
        <w:adjustRightInd w:val="0"/>
        <w:snapToGrid w:val="0"/>
        <w:spacing w:beforeLines="0" w:afterLines="0" w:line="590" w:lineRule="exact"/>
        <w:ind w:firstLine="640" w:firstLineChars="200"/>
        <w:textAlignment w:val="baseline"/>
        <w:rPr>
          <w:rFonts w:hint="default"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按照渔港等级认定指标体系中指标顺序，提供指标参数的证明材料。证明材料包括但不限于渔港地理位置图、渔港实景鸟瞰图、渔港港章港界、水域陆域界限标识现场图、渔港权属清单、码头长度实测平面图</w:t>
      </w:r>
      <w:r>
        <w:rPr>
          <w:rFonts w:hint="default"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或码头完整的设计施工验收文件、码头结构检测报告、码头鉴定报告</w:t>
      </w:r>
      <w:r>
        <w:rPr>
          <w:rFonts w:hint="default"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color w:val="auto"/>
          <w:kern w:val="0"/>
          <w:sz w:val="32"/>
          <w:szCs w:val="32"/>
        </w:rPr>
        <w:t>、渔港总平面布置图、渔港进出港报告、渔获物年卸港量统计表、渔港监督管理机构现场图、渔港监督管理机构职责证明文件、港务管理机构现场图、港务管理机构职责证明文件、物业管理合同、综合管理服务中心现场图、渔港动态监控管理系统、渔港视频监控系统、污染防治设施现场图、应急管理设施现场图等。</w:t>
      </w:r>
      <w:bookmarkStart w:id="0" w:name="F_CSDW"/>
      <w:bookmarkEnd w:id="0"/>
    </w:p>
    <w:sectPr>
      <w:footerReference r:id="rId6" w:type="default"/>
      <w:pgSz w:w="11906" w:h="16838"/>
      <w:pgMar w:top="1871" w:right="1531" w:bottom="1871" w:left="1531" w:header="851" w:footer="1417" w:gutter="0"/>
      <w:pgNumType w:fmt="decimal"/>
      <w:cols w:space="720" w:num="1"/>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ˎ̥">
    <w:altName w:val="Adobe 仿宋 Std R"/>
    <w:panose1 w:val="00000609000101010101"/>
    <w:charset w:val="00"/>
    <w:family w:val="roman"/>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E257">
    <w:pPr>
      <w:spacing w:line="183" w:lineRule="auto"/>
      <w:ind w:left="249"/>
      <w:rPr>
        <w:rFonts w:ascii="宋体" w:hAnsi="宋体" w:cs="宋体"/>
        <w:sz w:val="28"/>
        <w:szCs w:val="28"/>
      </w:rPr>
    </w:pPr>
    <w:bookmarkStart w:id="1" w:name="_GoBack"/>
    <w:bookmarkEnd w:id="1"/>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8FA2932">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Bs2Js31wEAALQDAAAOAAAAAAAAAAEAIAAA&#10;AB8BAABkcnMvZTJvRG9jLnhtbFBLBQYAAAAABgAGAFkBAABoBQAAAAA=&#10;">
              <v:fill on="f" focussize="0,0"/>
              <v:stroke on="f"/>
              <v:imagedata o:title=""/>
              <o:lock v:ext="edit" aspectratio="f"/>
              <v:textbox inset="0mm,0mm,0mm,0mm" style="mso-fit-shape-to-text:t;">
                <w:txbxContent>
                  <w:p w14:paraId="08FA2932">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3253">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118070">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wrap="none" lIns="0" tIns="0" rIns="0" bIns="0" upright="0">
                      <a:spAutoFit/>
                    </wps:bodyPr>
                  </wps:wsp>
                </a:graphicData>
              </a:graphic>
            </wp:anchor>
          </w:drawing>
        </mc:Choice>
        <mc:Fallback>
          <w:pict>
            <v:shape id="文本框 43"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Pu7CzDTAQAApAMAAA4AAAAAAAAAAQAgAAAA&#10;IgEAAGRycy9lMm9Eb2MueG1sUEsFBgAAAAAGAAYAWQEAAGcFAAAAAA==&#10;">
              <v:fill on="f" focussize="0,0"/>
              <v:stroke on="f" weight="1.25pt"/>
              <v:imagedata o:title=""/>
              <o:lock v:ext="edit" aspectratio="f"/>
              <v:textbox inset="0mm,0mm,0mm,0mm" style="mso-fit-shape-to-text:t;">
                <w:txbxContent>
                  <w:p w14:paraId="37118070">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B844">
    <w:pPr>
      <w:pStyle w:val="8"/>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085887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vert="horz" wrap="none" lIns="0" tIns="0" rIns="0" bIns="0" anchor="t" anchorCtr="0" upright="0">
                      <a:spAutoFit/>
                    </wps:bodyPr>
                  </wps:wsp>
                </a:graphicData>
              </a:graphic>
            </wp:anchor>
          </w:drawing>
        </mc:Choice>
        <mc:Fallback>
          <w:pict>
            <v:shape id="文本框 4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ioTwzecB&#10;AADJAwAADgAAAAAAAAABACAAAAAiAQAAZHJzL2Uyb0RvYy54bWxQSwUGAAAAAAYABgBZAQAAewUA&#10;AAAA&#10;">
              <v:fill on="f" focussize="0,0"/>
              <v:stroke on="f" weight="1.25pt"/>
              <v:imagedata o:title=""/>
              <o:lock v:ext="edit" aspectratio="f"/>
              <v:textbox inset="0mm,0mm,0mm,0mm" style="mso-fit-shape-to-text:t;">
                <w:txbxContent>
                  <w:p w14:paraId="4085887B">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781E">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320"/>
  <w:drawingGridVerticalSpacing w:val="315"/>
  <w:displayHorizontalDrawingGridEvery w:val="1"/>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jFlZTA4YWQzODNhNjgxNGE3MWU0MWFjMmQ2MjEifQ=="/>
  </w:docVars>
  <w:rsids>
    <w:rsidRoot w:val="00172A27"/>
    <w:rsid w:val="00090A58"/>
    <w:rsid w:val="000961EE"/>
    <w:rsid w:val="000A7A12"/>
    <w:rsid w:val="000B7154"/>
    <w:rsid w:val="000C2415"/>
    <w:rsid w:val="001313D2"/>
    <w:rsid w:val="001A25CA"/>
    <w:rsid w:val="001E1E48"/>
    <w:rsid w:val="002005DE"/>
    <w:rsid w:val="002133BF"/>
    <w:rsid w:val="00277D02"/>
    <w:rsid w:val="002D1F9F"/>
    <w:rsid w:val="00321115"/>
    <w:rsid w:val="003A5734"/>
    <w:rsid w:val="00477FA0"/>
    <w:rsid w:val="00480F9C"/>
    <w:rsid w:val="00494F81"/>
    <w:rsid w:val="005B1CFA"/>
    <w:rsid w:val="005D0FCB"/>
    <w:rsid w:val="005D436A"/>
    <w:rsid w:val="006B1A63"/>
    <w:rsid w:val="00772A0C"/>
    <w:rsid w:val="00782CC1"/>
    <w:rsid w:val="007D595E"/>
    <w:rsid w:val="0088112D"/>
    <w:rsid w:val="008C1931"/>
    <w:rsid w:val="008E73AA"/>
    <w:rsid w:val="00943C71"/>
    <w:rsid w:val="00980D10"/>
    <w:rsid w:val="009810B9"/>
    <w:rsid w:val="00A527E8"/>
    <w:rsid w:val="00B04968"/>
    <w:rsid w:val="00B57848"/>
    <w:rsid w:val="00BD34CD"/>
    <w:rsid w:val="00C703A7"/>
    <w:rsid w:val="00C71115"/>
    <w:rsid w:val="00D055D3"/>
    <w:rsid w:val="00D12272"/>
    <w:rsid w:val="00D6423D"/>
    <w:rsid w:val="00DB5A63"/>
    <w:rsid w:val="00DF0D8C"/>
    <w:rsid w:val="00DF6215"/>
    <w:rsid w:val="00E1654D"/>
    <w:rsid w:val="00EB79EB"/>
    <w:rsid w:val="00ED5FA7"/>
    <w:rsid w:val="00EE4044"/>
    <w:rsid w:val="00EF3608"/>
    <w:rsid w:val="00F7315D"/>
    <w:rsid w:val="00FE1EFF"/>
    <w:rsid w:val="00FF3D91"/>
    <w:rsid w:val="07FFC50A"/>
    <w:rsid w:val="08E013CE"/>
    <w:rsid w:val="0AB62BE7"/>
    <w:rsid w:val="0BE20D1C"/>
    <w:rsid w:val="0DF51275"/>
    <w:rsid w:val="14F60C2B"/>
    <w:rsid w:val="168521F6"/>
    <w:rsid w:val="17B93532"/>
    <w:rsid w:val="1B951B19"/>
    <w:rsid w:val="1CD43873"/>
    <w:rsid w:val="226A705B"/>
    <w:rsid w:val="23AF2A95"/>
    <w:rsid w:val="24CC732E"/>
    <w:rsid w:val="28965AD0"/>
    <w:rsid w:val="29665CDD"/>
    <w:rsid w:val="2BAD6BD4"/>
    <w:rsid w:val="32E2590D"/>
    <w:rsid w:val="32FA5B3C"/>
    <w:rsid w:val="345C5756"/>
    <w:rsid w:val="34804D26"/>
    <w:rsid w:val="37682E8A"/>
    <w:rsid w:val="3AFFFF4C"/>
    <w:rsid w:val="3BDFDA52"/>
    <w:rsid w:val="3CE52BFF"/>
    <w:rsid w:val="3EFEA315"/>
    <w:rsid w:val="3EFFEB88"/>
    <w:rsid w:val="413D1972"/>
    <w:rsid w:val="45D257DB"/>
    <w:rsid w:val="475269DC"/>
    <w:rsid w:val="488770BE"/>
    <w:rsid w:val="4BD71EB1"/>
    <w:rsid w:val="4BF510D7"/>
    <w:rsid w:val="4D5C1413"/>
    <w:rsid w:val="4DC1596F"/>
    <w:rsid w:val="4E2941D0"/>
    <w:rsid w:val="53D5561A"/>
    <w:rsid w:val="5A0D19E7"/>
    <w:rsid w:val="5B38603C"/>
    <w:rsid w:val="5E9431D1"/>
    <w:rsid w:val="5F086487"/>
    <w:rsid w:val="5F36106A"/>
    <w:rsid w:val="60736D9C"/>
    <w:rsid w:val="60E86FCD"/>
    <w:rsid w:val="627F3E59"/>
    <w:rsid w:val="64530182"/>
    <w:rsid w:val="651E10E0"/>
    <w:rsid w:val="674F952A"/>
    <w:rsid w:val="69C24F1C"/>
    <w:rsid w:val="69FF7DBF"/>
    <w:rsid w:val="6ADA04F8"/>
    <w:rsid w:val="6AFE7122"/>
    <w:rsid w:val="6E0F4FD0"/>
    <w:rsid w:val="6E7F3F08"/>
    <w:rsid w:val="6FE62024"/>
    <w:rsid w:val="701C1045"/>
    <w:rsid w:val="71E102D8"/>
    <w:rsid w:val="731C714B"/>
    <w:rsid w:val="731D20C1"/>
    <w:rsid w:val="73DEC803"/>
    <w:rsid w:val="73F6397E"/>
    <w:rsid w:val="76EB7086"/>
    <w:rsid w:val="7808173A"/>
    <w:rsid w:val="79993315"/>
    <w:rsid w:val="79FB1546"/>
    <w:rsid w:val="7AFD8CAB"/>
    <w:rsid w:val="7CFB1898"/>
    <w:rsid w:val="7D779702"/>
    <w:rsid w:val="7DF8A951"/>
    <w:rsid w:val="7F7F4890"/>
    <w:rsid w:val="7F9F9D6A"/>
    <w:rsid w:val="7FDB096F"/>
    <w:rsid w:val="7FF17327"/>
    <w:rsid w:val="7FFDB683"/>
    <w:rsid w:val="8D3B98CC"/>
    <w:rsid w:val="AFDF34ED"/>
    <w:rsid w:val="B47F0723"/>
    <w:rsid w:val="BAFFD9ED"/>
    <w:rsid w:val="BBF9E233"/>
    <w:rsid w:val="BDFD58BB"/>
    <w:rsid w:val="BF7E62DB"/>
    <w:rsid w:val="CFFFFDE9"/>
    <w:rsid w:val="DDFEE14C"/>
    <w:rsid w:val="DFE59F22"/>
    <w:rsid w:val="EFFA27C9"/>
    <w:rsid w:val="F3F5EC9E"/>
    <w:rsid w:val="F5D76368"/>
    <w:rsid w:val="F5F1948C"/>
    <w:rsid w:val="F7FFC697"/>
    <w:rsid w:val="FB6FB9AD"/>
    <w:rsid w:val="FB8C2C09"/>
    <w:rsid w:val="FB9FFD3B"/>
    <w:rsid w:val="FBB73A32"/>
    <w:rsid w:val="FD9789CF"/>
    <w:rsid w:val="FECF9499"/>
    <w:rsid w:val="FFD876CD"/>
    <w:rsid w:val="FFEF3D28"/>
    <w:rsid w:val="FFFF8B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1"/>
    <w:basedOn w:val="1"/>
    <w:next w:val="1"/>
    <w:qFormat/>
    <w:uiPriority w:val="0"/>
    <w:pPr>
      <w:autoSpaceDE w:val="0"/>
      <w:autoSpaceDN w:val="0"/>
      <w:ind w:left="218" w:firstLine="643"/>
      <w:outlineLvl w:val="0"/>
    </w:pPr>
    <w:rPr>
      <w:rFonts w:ascii="Calibri" w:hAnsi="Calibri" w:eastAsia="仿宋" w:cs="仿宋"/>
      <w:b/>
      <w:bCs/>
      <w:sz w:val="21"/>
      <w:szCs w:val="32"/>
      <w:lang w:val="zh-CN" w:bidi="zh-CN"/>
    </w:rPr>
  </w:style>
  <w:style w:type="paragraph" w:styleId="5">
    <w:name w:val="heading 3"/>
    <w:basedOn w:val="1"/>
    <w:next w:val="1"/>
    <w:qFormat/>
    <w:uiPriority w:val="0"/>
    <w:pPr>
      <w:keepNext/>
      <w:keepLines/>
      <w:spacing w:before="260" w:after="260" w:line="416" w:lineRule="auto"/>
      <w:outlineLvl w:val="2"/>
    </w:pPr>
    <w:rPr>
      <w:rFonts w:ascii="Times New Roman" w:hAnsi="Times New Roman" w:eastAsia="宋体" w:cs="宋体"/>
      <w:b/>
      <w:bCs/>
      <w:sz w:val="21"/>
      <w:szCs w:val="2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80"/>
    </w:pPr>
    <w:rPr>
      <w:rFonts w:ascii="Calibri" w:hAnsi="Calibri" w:eastAsia="宋体" w:cs="Times New Roman"/>
    </w:rPr>
  </w:style>
  <w:style w:type="paragraph" w:styleId="3">
    <w:name w:val="Body Text Indent"/>
    <w:basedOn w:val="1"/>
    <w:qFormat/>
    <w:uiPriority w:val="0"/>
    <w:pPr>
      <w:widowControl/>
      <w:spacing w:line="360" w:lineRule="auto"/>
      <w:ind w:left="492"/>
      <w:jc w:val="left"/>
    </w:pPr>
    <w:rPr>
      <w:rFonts w:ascii="仿宋_GB2312" w:hAnsi="宋体" w:eastAsia="仿宋_GB2312" w:cs="Times New Roman"/>
      <w:color w:val="000000"/>
      <w:kern w:val="0"/>
      <w:sz w:val="30"/>
      <w:szCs w:val="22"/>
    </w:rPr>
  </w:style>
  <w:style w:type="paragraph" w:styleId="6">
    <w:name w:val="Normal Indent"/>
    <w:basedOn w:val="1"/>
    <w:qFormat/>
    <w:uiPriority w:val="0"/>
    <w:pPr>
      <w:spacing w:line="360" w:lineRule="auto"/>
      <w:ind w:firstLine="200" w:firstLineChars="200"/>
    </w:pPr>
    <w:rPr>
      <w:rFonts w:ascii="Times New Roman" w:hAnsi="Times New Roman" w:eastAsia="宋体" w:cs="Times New Roman"/>
      <w:sz w:val="24"/>
      <w:szCs w:val="22"/>
    </w:rPr>
  </w:style>
  <w:style w:type="paragraph" w:styleId="7">
    <w:name w:val="Date"/>
    <w:basedOn w:val="1"/>
    <w:next w:val="1"/>
    <w:uiPriority w:val="0"/>
    <w:pPr>
      <w:ind w:left="100" w:leftChars="2500"/>
    </w:p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footnote text"/>
    <w:basedOn w:val="1"/>
    <w:qFormat/>
    <w:uiPriority w:val="99"/>
    <w:pPr>
      <w:snapToGrid w:val="0"/>
      <w:jc w:val="left"/>
    </w:pPr>
    <w:rPr>
      <w:rFonts w:ascii="Calibri" w:hAnsi="Calibri" w:eastAsia="宋体" w:cs="宋体"/>
      <w:sz w:val="18"/>
      <w:szCs w:val="22"/>
    </w:rPr>
  </w:style>
  <w:style w:type="paragraph" w:styleId="11">
    <w:name w:val="toc 2"/>
    <w:basedOn w:val="1"/>
    <w:next w:val="1"/>
    <w:qFormat/>
    <w:uiPriority w:val="39"/>
    <w:pPr>
      <w:ind w:left="420" w:leftChars="200"/>
    </w:pPr>
    <w:rPr>
      <w:rFonts w:ascii="Calibri" w:hAnsi="Calibri" w:eastAsia="宋体" w:cs="宋体"/>
      <w:sz w:val="21"/>
      <w:szCs w:val="22"/>
    </w:rPr>
  </w:style>
  <w:style w:type="paragraph" w:styleId="12">
    <w:name w:val="Normal (Web)"/>
    <w:basedOn w:val="1"/>
    <w:qFormat/>
    <w:uiPriority w:val="99"/>
    <w:pPr>
      <w:spacing w:before="100" w:beforeAutospacing="1" w:after="100" w:afterAutospacing="1"/>
      <w:ind w:left="0" w:right="0"/>
      <w:jc w:val="left"/>
    </w:pPr>
    <w:rPr>
      <w:rFonts w:ascii="Calibri" w:hAnsi="Calibri" w:eastAsia="宋体" w:cs="宋体"/>
      <w:kern w:val="0"/>
      <w:sz w:val="24"/>
      <w:szCs w:val="22"/>
      <w:lang w:val="en-US" w:eastAsia="zh-C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iPriority w:val="0"/>
    <w:rPr>
      <w:color w:val="0000FF"/>
      <w:u w:val="single"/>
    </w:rPr>
  </w:style>
  <w:style w:type="character" w:styleId="18">
    <w:name w:val="footnote reference"/>
    <w:basedOn w:val="15"/>
    <w:qFormat/>
    <w:uiPriority w:val="99"/>
    <w:rPr>
      <w:rFonts w:ascii="Times New Roman" w:hAnsi="Times New Roman" w:eastAsia="宋体" w:cs="Times New Roman"/>
      <w:vertAlign w:val="superscript"/>
    </w:rPr>
  </w:style>
  <w:style w:type="character" w:customStyle="1" w:styleId="19">
    <w:name w:val="页脚 字符"/>
    <w:basedOn w:val="15"/>
    <w:link w:val="8"/>
    <w:qFormat/>
    <w:uiPriority w:val="99"/>
    <w:rPr>
      <w:rFonts w:ascii="Times New Roman" w:hAnsi="Times New Roman" w:eastAsia="宋体" w:cs="Times New Roman"/>
      <w:sz w:val="18"/>
    </w:rPr>
  </w:style>
  <w:style w:type="character" w:customStyle="1" w:styleId="20">
    <w:name w:val="页眉 字符"/>
    <w:basedOn w:val="15"/>
    <w:link w:val="9"/>
    <w:qFormat/>
    <w:uiPriority w:val="99"/>
    <w:rPr>
      <w:rFonts w:ascii="Times New Roman" w:hAnsi="Times New Roman" w:eastAsia="宋体" w:cs="Times New Roman"/>
      <w:sz w:val="18"/>
    </w:rPr>
  </w:style>
  <w:style w:type="character" w:customStyle="1" w:styleId="21">
    <w:name w:val="green121"/>
    <w:basedOn w:val="15"/>
    <w:uiPriority w:val="0"/>
    <w:rPr>
      <w:rFonts w:hint="default" w:ascii="ˎ̥" w:hAnsi="ˎ̥"/>
      <w:color w:val="0A5D21"/>
      <w:sz w:val="18"/>
      <w:szCs w:val="18"/>
      <w:u w:val="none"/>
    </w:rPr>
  </w:style>
  <w:style w:type="paragraph" w:customStyle="1" w:styleId="22">
    <w:name w:val=" Char"/>
    <w:basedOn w:val="1"/>
    <w:qFormat/>
    <w:uiPriority w:val="0"/>
    <w:pPr>
      <w:widowControl/>
      <w:spacing w:after="160" w:line="240" w:lineRule="exact"/>
      <w:jc w:val="left"/>
    </w:pPr>
    <w:rPr>
      <w:sz w:val="21"/>
      <w:szCs w:val="24"/>
    </w:rPr>
  </w:style>
  <w:style w:type="paragraph" w:customStyle="1" w:styleId="23">
    <w:name w:val="_Style 6"/>
    <w:basedOn w:val="1"/>
    <w:uiPriority w:val="0"/>
    <w:pPr>
      <w:widowControl/>
      <w:spacing w:after="160" w:line="240" w:lineRule="exact"/>
      <w:jc w:val="left"/>
    </w:pPr>
    <w:rPr>
      <w:sz w:val="21"/>
      <w:szCs w:val="24"/>
    </w:rPr>
  </w:style>
  <w:style w:type="paragraph" w:customStyle="1" w:styleId="24">
    <w:name w:val=" Char Char Char Char Char Char Char Char Char Char Char Char"/>
    <w:basedOn w:val="1"/>
    <w:qFormat/>
    <w:uiPriority w:val="0"/>
    <w:pPr>
      <w:tabs>
        <w:tab w:val="left" w:pos="425"/>
      </w:tabs>
      <w:ind w:left="425" w:hanging="425"/>
    </w:pPr>
    <w:rPr>
      <w:rFonts w:eastAsia="仿宋_GB2312"/>
      <w:snapToGrid w:val="0"/>
      <w:kern w:val="24"/>
      <w:sz w:val="24"/>
      <w:szCs w:val="28"/>
    </w:rPr>
  </w:style>
  <w:style w:type="paragraph" w:customStyle="1" w:styleId="25">
    <w:name w:val="p0"/>
    <w:basedOn w:val="1"/>
    <w:uiPriority w:val="0"/>
    <w:pPr>
      <w:widowControl/>
    </w:pPr>
    <w:rPr>
      <w:rFonts w:eastAsia="仿宋_GB2312"/>
      <w:snapToGrid w:val="0"/>
      <w:kern w:val="0"/>
      <w:szCs w:val="21"/>
    </w:rPr>
  </w:style>
  <w:style w:type="paragraph" w:customStyle="1" w:styleId="26">
    <w:name w:val="Revision_61e1466d-34d7-4d3b-8e07-fe9b3185eacf"/>
    <w:qFormat/>
    <w:uiPriority w:val="99"/>
    <w:rPr>
      <w:rFonts w:ascii="Calibri" w:hAnsi="Calibri" w:eastAsia="宋体" w:cs="宋体"/>
      <w:kern w:val="2"/>
      <w:sz w:val="21"/>
      <w:szCs w:val="22"/>
      <w:lang w:val="en-US" w:eastAsia="zh-CN" w:bidi="ar-SA"/>
    </w:rPr>
  </w:style>
  <w:style w:type="character" w:customStyle="1" w:styleId="27">
    <w:name w:val="font01"/>
    <w:basedOn w:val="15"/>
    <w:qFormat/>
    <w:uiPriority w:val="0"/>
    <w:rPr>
      <w:rFonts w:ascii="方正书宋_GBK" w:hAnsi="方正书宋_GBK" w:eastAsia="方正书宋_GBK" w:cs="方正书宋_GBK"/>
      <w:color w:val="000000"/>
      <w:sz w:val="24"/>
      <w:szCs w:val="24"/>
      <w:u w:val="none"/>
    </w:rPr>
  </w:style>
  <w:style w:type="character" w:customStyle="1" w:styleId="28">
    <w:name w:val="font11"/>
    <w:basedOn w:val="15"/>
    <w:qFormat/>
    <w:uiPriority w:val="0"/>
    <w:rPr>
      <w:rFonts w:hint="default" w:ascii="仿宋_GB2312" w:hAnsi="Times New Roman"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9820</Words>
  <Characters>10329</Characters>
  <Lines>1</Lines>
  <Paragraphs>2576</Paragraphs>
  <TotalTime>6</TotalTime>
  <ScaleCrop>false</ScaleCrop>
  <LinksUpToDate>false</LinksUpToDate>
  <CharactersWithSpaces>10461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2023-10-24T19:13:00Z</dcterms:created>
  <dc:creator>AMAC</dc:creator>
  <cp:lastModifiedBy>风</cp:lastModifiedBy>
  <cp:lastPrinted>2024-08-26T03:33:00Z</cp:lastPrinted>
  <dcterms:modified xsi:type="dcterms:W3CDTF">2024-10-08T06:53:24Z</dcterms:modified>
  <dc:title>一、该项目补助资金已由省财政厅以粤财农[2013]475号文下达给各有关财政局，各地要抓紧落实项目资金，加强管理，专款专用，严禁挤占、截留和挪用，确保资金资金使用安全。</dc:title>
  <cp:revision>466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4ADB692238604801BA9BB96663BD95D9_13</vt:lpwstr>
  </property>
  <property fmtid="{D5CDD505-2E9C-101B-9397-08002B2CF9AE}" pid="4" name="close">
    <vt:lpwstr>true</vt:lpwstr>
  </property>
  <property fmtid="{D5CDD505-2E9C-101B-9397-08002B2CF9AE}" pid="5" name="showFlag">
    <vt:bool>false</vt:bool>
  </property>
</Properties>
</file>