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2024年第一批现代化海洋牧场一级开发主体“补改投”</w:t>
      </w:r>
    </w:p>
    <w:p>
      <w:pPr>
        <w:keepNext w:val="0"/>
        <w:keepLines w:val="0"/>
        <w:widowControl w:val="0"/>
        <w:spacing w:line="590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试点企业名单及资金分配方案</w:t>
      </w:r>
    </w:p>
    <w:tbl>
      <w:tblPr>
        <w:tblStyle w:val="3"/>
        <w:tblW w:w="7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581"/>
        <w:gridCol w:w="2370"/>
        <w:gridCol w:w="2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一级开发主体</w:t>
            </w:r>
          </w:p>
        </w:tc>
        <w:tc>
          <w:tcPr>
            <w:tcW w:w="24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首批拨付（万元）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珠海市海洋发展集团有限公司</w:t>
            </w:r>
          </w:p>
        </w:tc>
        <w:tc>
          <w:tcPr>
            <w:tcW w:w="24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湛江农业发展集团有限公司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饶平振农农业投资有限公司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广东省海洋投资发展有限公司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beforeAutospacing="0" w:after="260" w:afterAutospacing="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2024-09-02T02:42:24Z</dcterms:created>
  <dc:creator>admin</dc:creator>
  <cp:lastModifiedBy>李ZD</cp:lastModifiedBy>
  <dcterms:modified xsi:type="dcterms:W3CDTF">2024-09-02T02:42:26Z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