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right="44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2024年中央农业产业发展资金-奶业生产能力提升整县推进项目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申报指南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按照农业农村部《“十四五”奶业竞争力提升行动方案》（农牧发〔2022〕8号）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《农业农村部办公厅 财政部办公厅关于实施奶业生产能力提升整县推进项目的通知》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农办牧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号)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等有关文件和政策要求，在我省奶业大县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实施奶业生产能力提升整县推进项目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。鼓励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通过政策引导、机制创新、主体培育等措施，加强优质饲草料供给，支持发展标准化、数字化规模养殖，推进产业链前伸后延，提高奶业综合生产能力。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一、建设内容</w:t>
      </w:r>
    </w:p>
    <w:p>
      <w:pPr>
        <w:bidi w:val="0"/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项目县根据现有奶畜养殖场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等主体的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基础条件，按照“填平补齐”的原则确定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项目建设内容。</w:t>
      </w:r>
    </w:p>
    <w:p>
      <w:pPr>
        <w:bidi w:val="0"/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（一）草畜配套。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支持通过租赁或长期订单等方式，促进青贮玉米等优质饲草料种植和奶牛养殖就地就近配套衔接，推进南方草山草坡饲草资源开发利用，保障饲草料供应。支持饲草料种植、收获、加工、贮存设施设备改造升级，引入自动化控制和自主化机械作业等智能化设备，打造高水平的优质饲草料生产基地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提高优质饲草料供应水平，降低饲草料成本。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（二）现代智慧牛场建设。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支持圈舍、防疫、奶厅、饲料制备、挤奶及运输等环节设施设备改造提升；支持数字化智能化设备（自动喷淋、环境监测、精准饲喂和监测、全自动全混合日粮搅拌机、挤奶机器人、推料机器人、产奶量自动监测设备等）、信息化采集设备（智能项圈、计步定位、自动计量、个体识别等）、智慧牧场管理平台（发情监测系统、物联网、大数据智能汇总分析等）等设备的推广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，提升奶牛单产、精细化饲养管理和生鲜乳质量安全水平。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探索奶业产地消费新模式。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开展奶农养加一体化试点建设，鼓励奶源新鲜、就近消费的区域化奶业生产经营模式，培育区域化大众化消费的奶业品牌。项目县可结合实际，支持有条件的奶农、合作社等主体依靠自有奶源发展乳制品加工试点，以巴氏杀菌乳、低温发酵乳、奶酪和民族特色乳制品为重点，支持奶源质量安全管控、乳品加工基础设施建设与设备购置、生产工艺升级、检验检测设备配备、冷链运输流通体系建设等。每个项目县试点数量不超过1个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二、绩效目标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通过实施奶业生产能力提升整县推进项目，推动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奶业大县发展草畜配套、适度规模养殖，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促进奶业一二三产业融合，提质效、降成本，提升奶业大县饲草料供应水平和养殖设施装备水平，奶牛年均单产水平达到9.5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" w:eastAsia="zh-CN" w:bidi="ar"/>
        </w:rPr>
        <w:t>吨以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巩固提升我省奶源供给保障能力和奶业质量安全水平，推进奶业产业链前伸后延，提高我省乳品质量、效益和竞争力，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加快形成新质生产力，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促进奶业高质量发展。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项目需在两年内完成。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三、申报对象和条件</w:t>
      </w:r>
    </w:p>
    <w:p>
      <w:pPr>
        <w:keepNext w:val="0"/>
        <w:keepLines w:val="0"/>
        <w:adjustRightInd w:val="0"/>
        <w:snapToGrid w:val="0"/>
        <w:spacing w:beforeLines="0" w:afterLines="0" w:line="59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县级人民政府是项目申报及实施主体，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 w:bidi="ar-SA"/>
        </w:rPr>
        <w:t>项目申报书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由县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人民政府负责组织编制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adjustRightInd w:val="0"/>
        <w:snapToGrid w:val="0"/>
        <w:spacing w:beforeLines="0" w:afterLines="0" w:line="59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奶业发展基础较好，奶牛标准化规模养殖水平较高，奶牛存栏、奶类产量持续稳定增长，有一定数量适度规模奶畜养殖场等主体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按统计口径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产奶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量稳定在1万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以上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奶业持续发展空间较大的奶业大县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adjustRightInd w:val="0"/>
        <w:snapToGrid w:val="0"/>
        <w:spacing w:beforeLines="0" w:afterLines="0" w:line="59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（三）当地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奶业产业链利益联结机制运行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较为顺畅，能够组织规范签订并履行生鲜乳购销合同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adjustRightInd w:val="0"/>
        <w:snapToGrid w:val="0"/>
        <w:spacing w:beforeLines="0" w:afterLines="0" w:line="59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当地政府对奶业发展高度重视，将奶业作为农业结构调整的重要内容，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制定出台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相关的产业发展意见、规划或支持政策。优先支持为巴氏杀菌乳、低温发酵乳等低温乳品和奶酪、乳清粉等精深加工乳制品集中配套奶源基地的奶业大县。</w:t>
      </w:r>
    </w:p>
    <w:p>
      <w:pPr>
        <w:pStyle w:val="10"/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-SA"/>
        </w:rPr>
        <w:t>四、资金补助方式</w:t>
      </w:r>
    </w:p>
    <w:p>
      <w:pPr>
        <w:pStyle w:val="10"/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  <w:t>（一）补助额度。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中央财政补助资金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原则上每个县连续支持两年，第一年安排补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助资金2000万元，根据实施效果等情况安排第二年补助资金。补助资金主要用于对扩大草畜配套规模、开展数字化智能化改造及养加一体化试点的适度规模奶牛养殖场（存栏100—3000头）给予适当补助。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结合项目县符合条件的补助对象情况，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草畜配套的每亩补助规模不超过800元，单个主体补助规模不超过400万元；现代智慧牛场建设的单个主体补助规模不超过300万元；奶农养加一体化试点的单个主体补助规模不超过400万元。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中央财政补助资金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原则上占比不超过50%。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（二）补助原则。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项目县应主要通过“先建后补”等方式实施，本着“自愿、公开、公平”的原则，及时公开申报条件、补助标准、实施要求等内容，动员符合条件的奶畜养殖场等主体自愿共同申报。项目实施要与已承担同类项目，以及农机购置与应用补贴等现行政策衔接，避免重复补助，重点支持定制化、非标准化设施装备的推广应用与改造升级，满足奶业差异化发展需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报送要求</w:t>
      </w:r>
    </w:p>
    <w:p>
      <w:pPr>
        <w:keepNext w:val="0"/>
        <w:keepLines w:val="0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outlineLvl w:val="9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highlight w:val="none"/>
          <w:lang w:val="en-US" w:eastAsia="zh-CN"/>
        </w:rPr>
        <w:t>（一）网上申报</w:t>
      </w:r>
    </w:p>
    <w:p>
      <w:pPr>
        <w:keepNext w:val="0"/>
        <w:keepLines w:val="0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各申报单位须进行网上申报，网上申报网址：http://120.197.34.35:8001/nytzj-web/minstone/login（广东省农业农村厅专项资金管理系统-申报端口为：2024年中央农业产业发展资金-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奶业生产能力提升整县推进项目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，具体账号请联系相关工作人员。网上申报截止日期为2024年6月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1日24:00。网上审核截止日期为2024年6月12日24:00。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0" w:lineRule="exact"/>
        <w:ind w:left="0" w:leftChars="0" w:right="0" w:rightChars="0" w:firstLine="632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highlight w:val="none"/>
          <w:lang w:val="en-US" w:eastAsia="zh-CN"/>
        </w:rPr>
        <w:t>（二）书面材料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各有关县（市、区）要严格按照本申报指南的要求，组织编制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申报书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，并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月13日前将书面纸质材料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lang w:eastAsia="en-US" w:bidi="ar-SA"/>
        </w:rPr>
        <w:t>一式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en-US" w:bidi="ar-SA"/>
        </w:rPr>
        <w:t>3份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和电子版报送至省农业农村投资项目中心，逾期不予受理。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书面材料包括：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1.申报函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2.项目申报书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（内容及格式要求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见附件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.其他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佐证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附件材料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outlineLvl w:val="9"/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</w:rPr>
        <w:t>（三）材料报送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  <w:lang w:eastAsia="zh-CN"/>
        </w:rPr>
        <w:t>方式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省农业农村投资项目中心，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联系人：黄婉薇，联系电话:020-37289982；陈锴，联系电话:020-37236548。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地址：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广州市先烈东路135号2号办公楼11楼11房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outlineLvl w:val="9"/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  <w:lang w:eastAsia="zh-CN"/>
        </w:rPr>
        <w:t>（四）相关项目咨询联系人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省农业农村厅畜牧与饲料处，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周倩钧，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联系电话：0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37288898。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line="59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line="59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tabs>
          <w:tab w:val="left" w:pos="1260"/>
        </w:tabs>
        <w:adjustRightInd w:val="0"/>
        <w:snapToGrid w:val="0"/>
        <w:spacing w:beforeLines="0" w:afterLines="0" w:line="590" w:lineRule="exact"/>
        <w:ind w:firstLine="0" w:firstLineChars="0"/>
        <w:outlineLvl w:val="9"/>
        <w:rPr>
          <w:rFonts w:hint="eastAsia" w:ascii="黑体" w:hAnsi="黑体" w:eastAsia="黑体" w:cs="黑体"/>
          <w:snapToGrid/>
          <w:color w:val="auto"/>
          <w:kern w:val="44"/>
          <w:sz w:val="48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0"/>
          <w:sz w:val="32"/>
          <w:szCs w:val="32"/>
          <w:highlight w:val="none"/>
          <w:lang w:eastAsia="zh-CN"/>
        </w:rPr>
        <w:br w:type="page"/>
      </w: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keepNext w:val="0"/>
        <w:keepLines w:val="0"/>
        <w:widowControl w:val="0"/>
        <w:bidi w:val="0"/>
        <w:snapToGrid w:val="0"/>
        <w:spacing w:beforeLines="0" w:afterLines="0" w:line="590" w:lineRule="exact"/>
        <w:ind w:firstLine="1032" w:firstLineChars="200"/>
        <w:jc w:val="both"/>
        <w:rPr>
          <w:rFonts w:hint="eastAsia" w:ascii="方正小标宋简体" w:hAnsi="方正小标宋简体" w:eastAsia="方正小标宋简体" w:cs="方正小标宋简体"/>
          <w:snapToGrid/>
          <w:color w:val="auto"/>
          <w:kern w:val="44"/>
          <w:sz w:val="48"/>
          <w:szCs w:val="48"/>
          <w:highlight w:val="none"/>
          <w:lang w:val="en-US" w:eastAsia="zh-CN"/>
        </w:rPr>
      </w:pPr>
    </w:p>
    <w:p>
      <w:pPr>
        <w:pStyle w:val="2"/>
        <w:snapToGrid w:val="0"/>
        <w:spacing w:beforeLines="0" w:afterLines="0" w:line="590" w:lineRule="exact"/>
        <w:ind w:firstLine="1032" w:firstLineChars="200"/>
        <w:rPr>
          <w:rFonts w:hint="eastAsia" w:ascii="方正小标宋简体" w:hAnsi="方正小标宋简体" w:eastAsia="方正小标宋简体" w:cs="方正小标宋简体"/>
          <w:snapToGrid/>
          <w:color w:val="auto"/>
          <w:kern w:val="44"/>
          <w:sz w:val="48"/>
          <w:szCs w:val="48"/>
          <w:highlight w:val="none"/>
          <w:lang w:val="en-US" w:eastAsia="zh-CN"/>
        </w:rPr>
      </w:pPr>
    </w:p>
    <w:p>
      <w:pPr>
        <w:pStyle w:val="2"/>
        <w:snapToGrid w:val="0"/>
        <w:spacing w:beforeLines="0" w:afterLines="0" w:line="590" w:lineRule="exact"/>
        <w:ind w:firstLine="1032" w:firstLineChars="200"/>
        <w:rPr>
          <w:rFonts w:hint="eastAsia" w:ascii="方正小标宋简体" w:hAnsi="方正小标宋简体" w:eastAsia="方正小标宋简体" w:cs="方正小标宋简体"/>
          <w:snapToGrid/>
          <w:color w:val="auto"/>
          <w:kern w:val="44"/>
          <w:sz w:val="48"/>
          <w:szCs w:val="48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 w:val="0"/>
        <w:bidi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44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44"/>
          <w:sz w:val="44"/>
          <w:szCs w:val="44"/>
          <w:highlight w:val="none"/>
          <w:lang w:val="en-US" w:eastAsia="zh-CN"/>
        </w:rPr>
        <w:t>2024年中央农业产业发展资金-奶业生产能力提升整县推进项目</w:t>
      </w:r>
    </w:p>
    <w:p>
      <w:pPr>
        <w:pStyle w:val="2"/>
        <w:keepNext w:val="0"/>
        <w:keepLines w:val="0"/>
        <w:widowControl w:val="0"/>
        <w:bidi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申报书（模板）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Lines="0" w:afterLines="0" w:line="590" w:lineRule="exact"/>
        <w:ind w:firstLine="552" w:firstLineChars="200"/>
        <w:rPr>
          <w:rFonts w:ascii="宋体" w:hAnsi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Lines="0" w:afterLines="0" w:line="590" w:lineRule="exact"/>
        <w:ind w:firstLine="552" w:firstLineChars="200"/>
        <w:rPr>
          <w:rFonts w:ascii="宋体" w:hAnsi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Lines="0" w:afterLines="0" w:line="590" w:lineRule="exact"/>
        <w:ind w:firstLine="552" w:firstLineChars="200"/>
        <w:rPr>
          <w:rFonts w:ascii="宋体" w:hAnsi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Lines="0" w:afterLines="0" w:line="590" w:lineRule="exact"/>
        <w:ind w:firstLine="552" w:firstLineChars="200"/>
        <w:rPr>
          <w:rFonts w:ascii="宋体" w:hAnsi="宋体"/>
          <w:color w:val="auto"/>
          <w:sz w:val="28"/>
          <w:szCs w:val="28"/>
          <w:highlight w:val="none"/>
        </w:rPr>
      </w:pPr>
    </w:p>
    <w:tbl>
      <w:tblPr>
        <w:tblStyle w:val="7"/>
        <w:tblW w:w="84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称：</w:t>
            </w:r>
          </w:p>
        </w:tc>
        <w:tc>
          <w:tcPr>
            <w:tcW w:w="5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申 报 单 位：</w:t>
            </w:r>
          </w:p>
        </w:tc>
        <w:tc>
          <w:tcPr>
            <w:tcW w:w="5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32"/>
                <w:szCs w:val="32"/>
                <w:highlight w:val="none"/>
              </w:rPr>
              <w:t>负责人：</w:t>
            </w:r>
          </w:p>
        </w:tc>
        <w:tc>
          <w:tcPr>
            <w:tcW w:w="58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联 系 电 话：</w:t>
            </w:r>
          </w:p>
        </w:tc>
        <w:tc>
          <w:tcPr>
            <w:tcW w:w="58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主 管 单 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申 报 日 期：</w:t>
            </w:r>
          </w:p>
        </w:tc>
        <w:tc>
          <w:tcPr>
            <w:tcW w:w="5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Lines="0" w:afterLines="0" w:line="590" w:lineRule="exact"/>
        <w:ind w:firstLine="552" w:firstLineChars="200"/>
        <w:rPr>
          <w:rFonts w:ascii="宋体" w:hAnsi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beforeLines="0" w:afterLines="0" w:line="590" w:lineRule="exact"/>
        <w:ind w:firstLine="552" w:firstLineChars="200"/>
        <w:rPr>
          <w:rFonts w:ascii="宋体" w:hAnsi="宋体"/>
          <w:color w:val="auto"/>
          <w:sz w:val="28"/>
          <w:szCs w:val="28"/>
          <w:highlight w:val="none"/>
        </w:rPr>
      </w:pP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left="0" w:leftChars="0" w:firstLine="0" w:firstLineChars="0"/>
        <w:outlineLvl w:val="9"/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br w:type="page"/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highlight w:val="none"/>
        </w:rPr>
        <w:t>项目基本情况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项目县（市、区）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基本情况，包括区域范围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基本条件、奶业发展情况等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）项目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概况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，包括项目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名称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、实施时间、项目预算、联系人等。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（三）项目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实施及参与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单位情况，包括单位性质、隶属关系、相关业务范围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等。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ascii="黑体" w:hAnsi="黑体" w:eastAsia="黑体" w:cs="仿宋_GB2312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项目设立必要性分析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简述项目立项的指导思想、原则及政策依据，项目目的及意义，特别是对促进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奶业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生产能力提升和高质量发展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的意义与作用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adjustRightInd w:val="0"/>
        <w:snapToGrid w:val="0"/>
        <w:spacing w:beforeLines="0" w:afterLines="0" w:line="590" w:lineRule="exact"/>
        <w:ind w:firstLine="0" w:firstLineChars="0"/>
        <w:rPr>
          <w:rFonts w:hint="default" w:eastAsia="仿宋_GB2312"/>
          <w:kern w:val="0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项目设立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eastAsia="zh-CN"/>
        </w:rPr>
        <w:t>可行性分析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项目的主要工作思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路与设想。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项目</w:t>
      </w:r>
      <w:r>
        <w:rPr>
          <w:rFonts w:ascii="仿宋_GB2312" w:eastAsia="仿宋_GB2312" w:cs="仿宋_GB2312"/>
          <w:kern w:val="0"/>
          <w:sz w:val="32"/>
          <w:szCs w:val="32"/>
          <w:highlight w:val="none"/>
        </w:rPr>
        <w:t>具体建设内容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包括主要建设项目、承担主体、实施内容等方面。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（三）项目资金预算的合理性及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eastAsia="zh-CN"/>
        </w:rPr>
        <w:t>科学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性分析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eastAsia="zh-CN"/>
        </w:rPr>
        <w:t>，包括中央财政资金和自筹资金</w:t>
      </w:r>
      <w:r>
        <w:rPr>
          <w:rFonts w:ascii="仿宋_GB2312" w:eastAsia="仿宋_GB2312" w:cs="仿宋_GB2312"/>
          <w:kern w:val="0"/>
          <w:sz w:val="32"/>
          <w:szCs w:val="32"/>
          <w:highlight w:val="none"/>
        </w:rPr>
        <w:t>投入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项目承担单位需自行测算项目需求金额，提供资金测算过程及测算依据</w:t>
      </w:r>
      <w:r>
        <w:rPr>
          <w:rFonts w:ascii="仿宋_GB2312" w:eastAsia="仿宋_GB2312" w:cs="仿宋_GB2312"/>
          <w:kern w:val="0"/>
          <w:sz w:val="32"/>
          <w:szCs w:val="32"/>
          <w:highlight w:val="none"/>
        </w:rPr>
        <w:t>。</w:t>
      </w:r>
    </w:p>
    <w:p>
      <w:pPr>
        <w:pStyle w:val="11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四、绩效目标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绩效目标分析，包括经济效益、社会效益和生态效益等方面；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预期绩效目标的可持续性分析。</w:t>
      </w:r>
    </w:p>
    <w:p>
      <w:pPr>
        <w:pStyle w:val="11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五、组织保障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（一）项目实施进度时间安排，质量要求等。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contextualSpacing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（二）说明项目实施的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管理方式，机构人员分工和责任落实，实施程序，适用的主要管理制度，质量进度控制和台账统计报告方面的要求，项目实施过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程的监督管理措施和办法等。</w:t>
      </w:r>
    </w:p>
    <w:p>
      <w:pPr>
        <w:pStyle w:val="6"/>
        <w:adjustRightInd w:val="0"/>
        <w:snapToGrid w:val="0"/>
        <w:spacing w:beforeLines="0" w:after="0" w:line="590" w:lineRule="exact"/>
        <w:ind w:left="0" w:leftChars="0" w:firstLine="632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ind w:right="0" w:firstLine="632" w:firstLineChars="200"/>
        <w:rPr>
          <w:rFonts w:hint="eastAsia"/>
          <w:snapToGrid w:val="0"/>
          <w:kern w:val="0"/>
          <w:highlight w:val="none"/>
        </w:rPr>
      </w:pPr>
    </w:p>
    <w:p>
      <w:pPr>
        <w:adjustRightInd w:val="0"/>
        <w:snapToGrid w:val="0"/>
        <w:spacing w:beforeLines="0" w:afterLines="0" w:line="590" w:lineRule="exact"/>
        <w:ind w:right="0" w:firstLine="632" w:firstLineChars="200"/>
        <w:rPr>
          <w:rFonts w:hint="eastAsia"/>
          <w:snapToGrid w:val="0"/>
          <w:kern w:val="0"/>
          <w:highlight w:val="none"/>
        </w:rPr>
      </w:pPr>
    </w:p>
    <w:p>
      <w:pPr>
        <w:pStyle w:val="9"/>
        <w:widowControl w:val="0"/>
        <w:adjustRightInd w:val="0"/>
        <w:snapToGrid w:val="0"/>
        <w:spacing w:beforeLines="0" w:afterLines="0" w:line="590" w:lineRule="exact"/>
        <w:ind w:left="0" w:leftChars="0" w:right="0" w:rightChars="0" w:firstLine="632" w:firstLineChars="200"/>
        <w:rPr>
          <w:rFonts w:hint="eastAsia" w:eastAsia="仿宋_GB2312"/>
          <w:snapToGrid w:val="0"/>
          <w:kern w:val="0"/>
          <w:highlight w:val="none"/>
          <w:lang w:eastAsia="zh-CN"/>
        </w:rPr>
      </w:pPr>
    </w:p>
    <w:p>
      <w:pPr>
        <w:adjustRightInd w:val="0"/>
        <w:snapToGrid w:val="0"/>
        <w:spacing w:line="590" w:lineRule="exact"/>
        <w:ind w:right="157" w:firstLine="632" w:firstLineChars="200"/>
        <w:rPr>
          <w:rFonts w:hint="eastAsia"/>
          <w:snapToGrid w:val="0"/>
          <w:kern w:val="0"/>
        </w:rPr>
      </w:pPr>
    </w:p>
    <w:p>
      <w:pPr>
        <w:adjustRightInd w:val="0"/>
        <w:snapToGrid w:val="0"/>
        <w:spacing w:line="590" w:lineRule="exact"/>
        <w:ind w:right="157"/>
        <w:rPr>
          <w:rFonts w:hint="eastAsia"/>
          <w:snapToGrid w:val="0"/>
          <w:kern w:val="0"/>
        </w:rPr>
      </w:pPr>
    </w:p>
    <w:p>
      <w:pPr>
        <w:adjustRightInd w:val="0"/>
        <w:snapToGrid w:val="0"/>
        <w:spacing w:line="590" w:lineRule="exact"/>
        <w:ind w:right="157"/>
        <w:rPr>
          <w:rFonts w:hint="eastAsia"/>
          <w:snapToGrid w:val="0"/>
          <w:kern w:val="0"/>
        </w:rPr>
      </w:pPr>
    </w:p>
    <w:p>
      <w:pPr>
        <w:adjustRightInd w:val="0"/>
        <w:snapToGrid w:val="0"/>
        <w:spacing w:line="590" w:lineRule="exact"/>
        <w:ind w:right="157"/>
        <w:rPr>
          <w:rFonts w:hint="eastAsia"/>
          <w:snapToGrid w:val="0"/>
          <w:kern w:val="0"/>
        </w:rPr>
      </w:pPr>
    </w:p>
    <w:p>
      <w:pPr>
        <w:pStyle w:val="9"/>
        <w:ind w:left="1144" w:leftChars="100" w:right="316" w:rightChars="100" w:hanging="828" w:hangingChars="300"/>
        <w:rPr>
          <w:rFonts w:hint="eastAsia"/>
          <w:sz w:val="28"/>
          <w:szCs w:val="28"/>
        </w:rPr>
      </w:pPr>
    </w:p>
    <w:p>
      <w:pPr>
        <w:pStyle w:val="9"/>
        <w:ind w:left="1144" w:leftChars="100" w:right="316" w:rightChars="100" w:hanging="828" w:hangingChars="300"/>
        <w:rPr>
          <w:rFonts w:hint="eastAsia"/>
          <w:sz w:val="28"/>
          <w:szCs w:val="28"/>
        </w:rPr>
      </w:pPr>
    </w:p>
    <w:p>
      <w:pPr>
        <w:pStyle w:val="9"/>
        <w:ind w:left="1264" w:leftChars="100" w:right="316" w:rightChars="100" w:hanging="948" w:hangingChars="300"/>
        <w:rPr>
          <w:rFonts w:hint="eastAsia" w:eastAsia="仿宋_GB2312"/>
          <w:snapToGrid w:val="0"/>
          <w:kern w:val="0"/>
          <w:lang w:eastAsia="zh-CN"/>
        </w:rPr>
      </w:pPr>
      <w:bookmarkStart w:id="0" w:name="F_CSDW"/>
      <w:bookmarkEnd w:id="0"/>
    </w:p>
    <w:p>
      <w:bookmarkStart w:id="1" w:name="_GoBack"/>
      <w:bookmarkEnd w:id="1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pgNumType w:fmt="decimal" w:start="2"/>
      <w:cols w:space="720" w:num="1"/>
      <w:titlePg/>
      <w:rtlGutter w:val="0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BC5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/>
      <w:adjustRightInd w:val="0"/>
      <w:spacing w:line="288" w:lineRule="auto"/>
      <w:ind w:firstLine="640" w:firstLineChars="200"/>
      <w:jc w:val="left"/>
      <w:textAlignment w:val="baseline"/>
      <w:outlineLvl w:val="0"/>
    </w:pPr>
    <w:rPr>
      <w:rFonts w:ascii="方正小标宋_GBK" w:hAnsi="方正小标宋_GBK" w:eastAsia="黑体" w:cs="Times New Roman"/>
      <w:spacing w:val="20"/>
      <w:kern w:val="44"/>
      <w:sz w:val="36"/>
      <w:szCs w:val="20"/>
    </w:rPr>
  </w:style>
  <w:style w:type="paragraph" w:styleId="3">
    <w:name w:val="heading 3"/>
    <w:basedOn w:val="1"/>
    <w:next w:val="1"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9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10">
    <w:name w:val="报告正文"/>
    <w:basedOn w:val="1"/>
    <w:qFormat/>
    <w:uiPriority w:val="0"/>
    <w:pPr>
      <w:ind w:firstLine="640" w:firstLineChars="200"/>
    </w:pPr>
    <w:rPr>
      <w:rFonts w:ascii="Times New Roman" w:hAnsi="Times New Roman" w:eastAsia="仿宋" w:cs="Times New Roman"/>
      <w:sz w:val="32"/>
      <w:szCs w:val="28"/>
    </w:rPr>
  </w:style>
  <w:style w:type="paragraph" w:customStyle="1" w:styleId="11">
    <w:name w:val="_Style 3"/>
    <w:basedOn w:val="1"/>
    <w:uiPriority w:val="0"/>
    <w:pPr>
      <w:ind w:firstLine="420" w:firstLineChars="200"/>
    </w:pPr>
    <w:rPr>
      <w:rFonts w:ascii="Times New Roman" w:hAnsi="Times New Roman" w:eastAsia="宋体" w:cs="Times New Roman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2024-06-05T06:45:29Z</dcterms:created>
  <dc:creator>wuyin</dc:creator>
  <cp:lastModifiedBy>李ZD</cp:lastModifiedBy>
  <dcterms:modified xsi:type="dcterms:W3CDTF">2024-06-05T06:45:32Z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705487F9F2CA4560A5D4748D365B5849_12</vt:lpwstr>
  </property>
</Properties>
</file>