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0" w:lineRule="exact"/>
        <w:ind w:firstLine="0" w:firstLineChars="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附件1</w:t>
      </w:r>
    </w:p>
    <w:p>
      <w:pPr>
        <w:adjustRightInd w:val="0"/>
        <w:snapToGrid w:val="0"/>
        <w:spacing w:line="590" w:lineRule="exact"/>
        <w:ind w:firstLine="632" w:firstLineChars="200"/>
        <w:rPr>
          <w:rFonts w:hint="eastAsia" w:ascii="仿宋_GB2312" w:hAnsi="仿宋_GB2312" w:eastAsia="仿宋_GB2312"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4</w:t>
      </w:r>
      <w:r>
        <w:rPr>
          <w:rFonts w:hint="eastAsia" w:ascii="方正小标宋简体" w:hAnsi="方正小标宋简体" w:eastAsia="方正小标宋简体" w:cs="方正小标宋简体"/>
          <w:kern w:val="0"/>
          <w:sz w:val="44"/>
          <w:szCs w:val="44"/>
          <w:highlight w:val="none"/>
        </w:rPr>
        <w:t>年广东省种子质量监督</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抽查工作任务安排</w:t>
      </w:r>
    </w:p>
    <w:p>
      <w:pPr>
        <w:adjustRightInd w:val="0"/>
        <w:snapToGrid w:val="0"/>
        <w:spacing w:line="590" w:lineRule="exact"/>
        <w:ind w:firstLine="632" w:firstLineChars="200"/>
        <w:rPr>
          <w:rFonts w:hint="eastAsia" w:ascii="仿宋_GB2312" w:hAnsi="仿宋_GB2312" w:eastAsia="仿宋_GB2312"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一、抽查对象、内容和方式</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（一）抽查对象</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1.种子企业（主要在冬春季节开展）：抽查对象为水稻、玉米及部分蔬菜种子生产经营企业，抽取仓库内待销的商品种子；</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2.种子市场（冬春、夏秋季节两次开展）：抽查对象为基层种子集中交易市场和经营门店，抽取其销售的水稻、玉米、蔬菜种子等。</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（二）检查内容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1.查生产经营资质及生产经营档案。严格核查企业是否依法获得生产经营许可，以及品种审定（登记）、品种权授权、生产经营档案、备案、种子来源及去向等是否合法规范。</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2.查种子标签和使用说明。按照《农作物种子标签和使用说明管理办法》的要求，检查经营种子的包装标签和使用说明是否全面、真实、规范，重点检查二维码制作是否符合要求，可追溯能否实现等。</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查质量。抽取种子生产经营企业和种子市场的水稻、玉米和部分蔬菜种子样品，开展净度、水分和发芽率检测，并按照品种和批次抽取代表性的水稻和玉米种子样品进行品种纯度田间种植鉴定、品种真实性检测，以及转基因成份检测。</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（三）检查方式</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rPr>
        <w:t>种子企业名单（附件</w:t>
      </w:r>
      <w:r>
        <w:rPr>
          <w:rFonts w:hint="eastAsia" w:ascii="仿宋_GB2312" w:hAnsi="仿宋_GB2312" w:eastAsia="仿宋_GB2312" w:cs="仿宋_GB2312"/>
          <w:kern w:val="0"/>
          <w:sz w:val="32"/>
          <w:szCs w:val="32"/>
          <w:highlight w:val="none"/>
          <w:lang w:val="en-US" w:eastAsia="zh-CN"/>
        </w:rPr>
        <w:t>7</w:t>
      </w:r>
      <w:r>
        <w:rPr>
          <w:rFonts w:hint="eastAsia" w:ascii="仿宋_GB2312" w:hAnsi="仿宋_GB2312" w:eastAsia="仿宋_GB2312" w:cs="仿宋_GB2312"/>
          <w:kern w:val="0"/>
          <w:sz w:val="32"/>
          <w:szCs w:val="32"/>
          <w:highlight w:val="none"/>
        </w:rPr>
        <w:t>）和种子市场经营主体由地级以上市农业农村</w:t>
      </w:r>
      <w:r>
        <w:rPr>
          <w:rFonts w:hint="eastAsia" w:ascii="仿宋_GB2312" w:hAnsi="仿宋_GB2312" w:eastAsia="仿宋_GB2312" w:cs="仿宋_GB2312"/>
          <w:kern w:val="0"/>
          <w:sz w:val="32"/>
          <w:szCs w:val="32"/>
          <w:highlight w:val="none"/>
          <w:lang w:eastAsia="zh-CN"/>
        </w:rPr>
        <w:t>部门</w:t>
      </w:r>
      <w:r>
        <w:rPr>
          <w:rFonts w:hint="eastAsia" w:ascii="仿宋_GB2312" w:hAnsi="仿宋_GB2312" w:eastAsia="仿宋_GB2312" w:cs="仿宋_GB2312"/>
          <w:kern w:val="0"/>
          <w:sz w:val="32"/>
          <w:szCs w:val="32"/>
          <w:highlight w:val="none"/>
        </w:rPr>
        <w:t>在应建立的抽查目录中，根据目标任务量，按双随机要求抽取。</w:t>
      </w:r>
      <w:r>
        <w:rPr>
          <w:rFonts w:hint="eastAsia" w:ascii="仿宋_GB2312" w:hAnsi="仿宋_GB2312" w:eastAsia="仿宋_GB2312" w:cs="仿宋_GB2312"/>
          <w:kern w:val="0"/>
          <w:sz w:val="32"/>
          <w:szCs w:val="32"/>
          <w:highlight w:val="none"/>
          <w:lang w:eastAsia="zh-CN"/>
        </w:rPr>
        <w:t>列入当地“双随机、一公开”抽查事项清单的，抽查结果应按要求及时向社会公开。</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二、扦样安排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楷体_GB2312" w:hAnsi="楷体_GB2312" w:eastAsia="楷体_GB2312" w:cs="楷体_GB2312"/>
          <w:kern w:val="0"/>
          <w:sz w:val="32"/>
          <w:szCs w:val="32"/>
          <w:highlight w:val="none"/>
          <w:lang w:val="en-US" w:eastAsia="zh-CN"/>
        </w:rPr>
        <w:t>（一）</w:t>
      </w:r>
      <w:r>
        <w:rPr>
          <w:rFonts w:hint="eastAsia" w:ascii="楷体_GB2312" w:hAnsi="楷体_GB2312" w:eastAsia="楷体_GB2312" w:cs="楷体_GB2312"/>
          <w:kern w:val="0"/>
          <w:sz w:val="32"/>
          <w:szCs w:val="32"/>
          <w:highlight w:val="none"/>
        </w:rPr>
        <w:t>种子企业抽查。</w:t>
      </w:r>
      <w:r>
        <w:rPr>
          <w:rFonts w:hint="eastAsia" w:ascii="仿宋_GB2312" w:hAnsi="仿宋_GB2312" w:eastAsia="仿宋_GB2312" w:cs="仿宋_GB2312"/>
          <w:kern w:val="0"/>
          <w:sz w:val="32"/>
          <w:szCs w:val="32"/>
          <w:highlight w:val="none"/>
        </w:rPr>
        <w:t>应覆盖抽查企业生产经营代表性的品种。</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楷体_GB2312" w:hAnsi="楷体_GB2312" w:eastAsia="楷体_GB2312" w:cs="楷体_GB2312"/>
          <w:kern w:val="0"/>
          <w:sz w:val="32"/>
          <w:szCs w:val="32"/>
          <w:highlight w:val="none"/>
          <w:lang w:val="en-US" w:eastAsia="zh-CN"/>
        </w:rPr>
        <w:t>（二）</w:t>
      </w:r>
      <w:r>
        <w:rPr>
          <w:rFonts w:hint="eastAsia" w:ascii="楷体_GB2312" w:hAnsi="楷体_GB2312" w:eastAsia="楷体_GB2312" w:cs="楷体_GB2312"/>
          <w:kern w:val="0"/>
          <w:sz w:val="32"/>
          <w:szCs w:val="32"/>
          <w:highlight w:val="none"/>
        </w:rPr>
        <w:t>种子经营门店抽查。</w:t>
      </w:r>
      <w:r>
        <w:rPr>
          <w:rFonts w:hint="eastAsia" w:ascii="仿宋_GB2312" w:hAnsi="仿宋_GB2312" w:eastAsia="仿宋_GB2312" w:cs="仿宋_GB2312"/>
          <w:kern w:val="0"/>
          <w:sz w:val="32"/>
          <w:szCs w:val="32"/>
          <w:highlight w:val="none"/>
        </w:rPr>
        <w:t>原则上每个种子经营门店抽查1-3个种子样品，地市辖区内本年度抽查选取的多家经营门店如为同一企业的重复品种，则不用抽样。对于近年监督抽查发现有问题的企业，以及维权企业举报、农民投诉的企业，应列为重点对象进行抽查。</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三、检测安排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（一）常规质量指标检测</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抽查样品的净度、水分、发芽率检测工作由地级以上</w:t>
      </w:r>
      <w:r>
        <w:rPr>
          <w:rFonts w:hint="eastAsia" w:ascii="仿宋_GB2312" w:hAnsi="仿宋_GB2312" w:eastAsia="仿宋_GB2312" w:cs="仿宋_GB2312"/>
          <w:kern w:val="0"/>
          <w:sz w:val="32"/>
          <w:szCs w:val="32"/>
          <w:highlight w:val="none"/>
          <w:lang w:eastAsia="zh-CN"/>
        </w:rPr>
        <w:t>市</w:t>
      </w:r>
      <w:r>
        <w:rPr>
          <w:rFonts w:hint="eastAsia" w:ascii="仿宋_GB2312" w:hAnsi="仿宋_GB2312" w:eastAsia="仿宋_GB2312" w:cs="仿宋_GB2312"/>
          <w:kern w:val="0"/>
          <w:sz w:val="32"/>
          <w:szCs w:val="32"/>
          <w:highlight w:val="none"/>
        </w:rPr>
        <w:t>农业农村局</w:t>
      </w:r>
      <w:r>
        <w:rPr>
          <w:rFonts w:hint="eastAsia" w:ascii="仿宋_GB2312" w:hAnsi="仿宋_GB2312" w:eastAsia="仿宋_GB2312" w:cs="仿宋_GB2312"/>
          <w:kern w:val="0"/>
          <w:sz w:val="32"/>
          <w:szCs w:val="32"/>
          <w:highlight w:val="none"/>
          <w:lang w:eastAsia="zh-CN"/>
        </w:rPr>
        <w:t>委托</w:t>
      </w:r>
      <w:r>
        <w:rPr>
          <w:rFonts w:hint="eastAsia" w:ascii="仿宋_GB2312" w:hAnsi="仿宋_GB2312" w:eastAsia="仿宋_GB2312" w:cs="仿宋_GB2312"/>
          <w:kern w:val="0"/>
          <w:sz w:val="32"/>
          <w:szCs w:val="32"/>
          <w:highlight w:val="none"/>
        </w:rPr>
        <w:t>具备种子质量检验资质</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机构承担</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水稻、玉米品种纯度由肇庆市</w:t>
      </w:r>
      <w:r>
        <w:rPr>
          <w:rFonts w:hint="eastAsia" w:ascii="仿宋_GB2312" w:hAnsi="仿宋_GB2312" w:eastAsia="仿宋_GB2312" w:cs="仿宋_GB2312"/>
          <w:kern w:val="0"/>
          <w:sz w:val="32"/>
          <w:szCs w:val="32"/>
          <w:highlight w:val="none"/>
          <w:lang w:val="en-US" w:eastAsia="zh-CN"/>
        </w:rPr>
        <w:t>种子管理站</w:t>
      </w:r>
      <w:r>
        <w:rPr>
          <w:rFonts w:hint="eastAsia" w:ascii="仿宋_GB2312" w:hAnsi="仿宋_GB2312" w:eastAsia="仿宋_GB2312" w:cs="仿宋_GB2312"/>
          <w:kern w:val="0"/>
          <w:sz w:val="32"/>
          <w:szCs w:val="32"/>
          <w:highlight w:val="none"/>
        </w:rPr>
        <w:t>、广州市农业</w:t>
      </w:r>
      <w:r>
        <w:rPr>
          <w:rFonts w:hint="eastAsia" w:ascii="仿宋_GB2312" w:hAnsi="仿宋_GB2312" w:eastAsia="仿宋_GB2312" w:cs="仿宋_GB2312"/>
          <w:kern w:val="0"/>
          <w:sz w:val="32"/>
          <w:szCs w:val="32"/>
          <w:highlight w:val="none"/>
          <w:lang w:val="en-US" w:eastAsia="zh-CN"/>
        </w:rPr>
        <w:t>农村</w:t>
      </w:r>
      <w:r>
        <w:rPr>
          <w:rFonts w:hint="eastAsia" w:ascii="仿宋_GB2312" w:hAnsi="仿宋_GB2312" w:eastAsia="仿宋_GB2312" w:cs="仿宋_GB2312"/>
          <w:kern w:val="0"/>
          <w:sz w:val="32"/>
          <w:szCs w:val="32"/>
          <w:highlight w:val="none"/>
        </w:rPr>
        <w:t>科学院进行田间种植鉴定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省统一监测项目</w:t>
      </w:r>
      <w:r>
        <w:rPr>
          <w:rFonts w:hint="eastAsia" w:ascii="仿宋_GB2312" w:hAnsi="仿宋_GB2312" w:eastAsia="仿宋_GB2312" w:cs="仿宋_GB2312"/>
          <w:kern w:val="0"/>
          <w:sz w:val="32"/>
          <w:szCs w:val="32"/>
          <w:highlight w:val="none"/>
          <w:lang w:eastAsia="zh-CN"/>
        </w:rPr>
        <w:t>（附件</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所需</w:t>
      </w:r>
      <w:r>
        <w:rPr>
          <w:rFonts w:hint="eastAsia" w:ascii="仿宋_GB2312" w:hAnsi="仿宋_GB2312" w:eastAsia="仿宋_GB2312" w:cs="仿宋_GB2312"/>
          <w:kern w:val="0"/>
          <w:sz w:val="32"/>
          <w:szCs w:val="32"/>
          <w:highlight w:val="none"/>
          <w:lang w:eastAsia="zh-CN"/>
        </w:rPr>
        <w:t>检测鉴定</w:t>
      </w:r>
      <w:r>
        <w:rPr>
          <w:rFonts w:hint="eastAsia" w:ascii="仿宋_GB2312" w:hAnsi="仿宋_GB2312" w:eastAsia="仿宋_GB2312" w:cs="仿宋_GB2312"/>
          <w:kern w:val="0"/>
          <w:sz w:val="32"/>
          <w:szCs w:val="32"/>
          <w:highlight w:val="none"/>
        </w:rPr>
        <w:t>经费由我厅安排，按职责自行组织任务所需经费由地级以上市农业农村局安排。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（二）品种真实性和转基因检测</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水稻、玉米种子样品的品种真实性检测由农业农村部农作物种子质量检验测试中心（深圳）承担；水稻、玉米种子转基因成分检测由农业农村部植物及植物用微生物</w:t>
      </w:r>
      <w:r>
        <w:rPr>
          <w:rFonts w:hint="eastAsia" w:ascii="仿宋_GB2312" w:hAnsi="仿宋_GB2312" w:eastAsia="仿宋_GB2312" w:cs="仿宋_GB2312"/>
          <w:kern w:val="0"/>
          <w:sz w:val="32"/>
          <w:szCs w:val="32"/>
          <w:highlight w:val="none"/>
          <w:lang w:eastAsia="zh-CN"/>
        </w:rPr>
        <w:t>生态</w:t>
      </w:r>
      <w:r>
        <w:rPr>
          <w:rFonts w:hint="eastAsia" w:ascii="仿宋_GB2312" w:hAnsi="仿宋_GB2312" w:eastAsia="仿宋_GB2312" w:cs="仿宋_GB2312"/>
          <w:kern w:val="0"/>
          <w:sz w:val="32"/>
          <w:szCs w:val="32"/>
          <w:highlight w:val="none"/>
        </w:rPr>
        <w:t>环境安全监督检验测试中心（广州）承担</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省统一监测项目所需经费由我厅安排，按职责自行组织任务所需经费由地级以上市农业农村局安排。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（三）其他要求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品种和批次抽取代表性的水稻和玉米种子样品，可以采用国家规定的快速检测方法对种子进行检测，检测结果可以作为行政处罚依据。各地市应按规定以适当比例组织开展品种纯度、真实性、转基因检测；抽取的水稻样品须分取品种纯度、品种真实性、转基因成分检测样品各150克；玉米样品分取品种纯度、品种真实性、转基因成分检测样品各250克。各地应根据省统一监测</w:t>
      </w:r>
      <w:r>
        <w:rPr>
          <w:rFonts w:hint="eastAsia" w:ascii="仿宋_GB2312" w:hAnsi="仿宋_GB2312" w:eastAsia="仿宋_GB2312" w:cs="仿宋_GB2312"/>
          <w:kern w:val="0"/>
          <w:sz w:val="32"/>
          <w:szCs w:val="32"/>
          <w:highlight w:val="none"/>
          <w:lang w:eastAsia="zh-CN"/>
        </w:rPr>
        <w:t>要求的</w:t>
      </w:r>
      <w:r>
        <w:rPr>
          <w:rFonts w:hint="eastAsia" w:ascii="仿宋_GB2312" w:hAnsi="仿宋_GB2312" w:eastAsia="仿宋_GB2312" w:cs="仿宋_GB2312"/>
          <w:kern w:val="0"/>
          <w:sz w:val="32"/>
          <w:szCs w:val="32"/>
          <w:highlight w:val="none"/>
        </w:rPr>
        <w:t>数量要求，按时做好样品送达工作，省统一监测数量可计入本级需组织开展的任务要求。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四、冬春季农作物种子质量监督抽查工作进度安排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lang w:val="en-US" w:eastAsia="zh-CN"/>
        </w:rPr>
      </w:pPr>
      <w:r>
        <w:rPr>
          <w:rFonts w:hint="eastAsia" w:ascii="楷体_GB2312" w:hAnsi="楷体_GB2312" w:eastAsia="楷体_GB2312" w:cs="楷体_GB2312"/>
          <w:kern w:val="0"/>
          <w:sz w:val="32"/>
          <w:szCs w:val="32"/>
          <w:highlight w:val="none"/>
          <w:lang w:val="en-US" w:eastAsia="zh-CN"/>
        </w:rPr>
        <w:t>（一）种子企业和市场抽查进度安排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日</w:t>
      </w:r>
      <w:r>
        <w:rPr>
          <w:rFonts w:hint="eastAsia" w:ascii="仿宋_GB2312" w:hAnsi="仿宋_GB2312" w:eastAsia="仿宋_GB2312" w:cs="仿宋_GB2312"/>
          <w:color w:val="auto"/>
          <w:kern w:val="0"/>
          <w:sz w:val="32"/>
          <w:szCs w:val="32"/>
          <w:highlight w:val="none"/>
        </w:rPr>
        <w:t>前，完成种子企业监督抽查现场检查和抽样工作</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种子市场监督检查和抽样工作</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并将</w:t>
      </w:r>
      <w:r>
        <w:rPr>
          <w:rFonts w:hint="eastAsia" w:ascii="仿宋_GB2312" w:hAnsi="仿宋_GB2312" w:eastAsia="仿宋_GB2312" w:cs="仿宋_GB2312"/>
          <w:color w:val="auto"/>
          <w:kern w:val="0"/>
          <w:sz w:val="32"/>
          <w:szCs w:val="32"/>
          <w:highlight w:val="none"/>
        </w:rPr>
        <w:t>省统一监测</w:t>
      </w:r>
      <w:r>
        <w:rPr>
          <w:rFonts w:hint="eastAsia" w:ascii="仿宋_GB2312" w:hAnsi="仿宋_GB2312" w:eastAsia="仿宋_GB2312" w:cs="仿宋_GB2312"/>
          <w:color w:val="auto"/>
          <w:kern w:val="0"/>
          <w:sz w:val="32"/>
          <w:szCs w:val="32"/>
          <w:highlight w:val="none"/>
          <w:lang w:eastAsia="zh-CN"/>
        </w:rPr>
        <w:t>项目的品种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样品送达相关检测机构（附件</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（二）结果报送</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30</w:t>
      </w:r>
      <w:r>
        <w:rPr>
          <w:rFonts w:hint="eastAsia" w:ascii="仿宋_GB2312" w:hAnsi="仿宋_GB2312" w:eastAsia="仿宋_GB2312" w:cs="仿宋_GB2312"/>
          <w:color w:val="auto"/>
          <w:kern w:val="0"/>
          <w:sz w:val="32"/>
          <w:szCs w:val="32"/>
          <w:highlight w:val="none"/>
        </w:rPr>
        <w:t>日前，有关种子检验机构将所承担的</w:t>
      </w:r>
      <w:r>
        <w:rPr>
          <w:rFonts w:hint="eastAsia" w:ascii="仿宋_GB2312" w:hAnsi="仿宋_GB2312" w:eastAsia="仿宋_GB2312" w:cs="仿宋_GB2312"/>
          <w:color w:val="auto"/>
          <w:kern w:val="0"/>
          <w:sz w:val="32"/>
          <w:szCs w:val="32"/>
          <w:highlight w:val="none"/>
          <w:lang w:eastAsia="zh-CN"/>
        </w:rPr>
        <w:t>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等结果反馈相关地级以上市农业农村局</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报我厅种业管理处</w:t>
      </w:r>
      <w:r>
        <w:rPr>
          <w:rFonts w:hint="eastAsia" w:ascii="仿宋_GB2312" w:hAnsi="仿宋_GB2312" w:eastAsia="仿宋_GB2312" w:cs="仿宋_GB2312"/>
          <w:color w:val="auto"/>
          <w:kern w:val="0"/>
          <w:sz w:val="32"/>
          <w:szCs w:val="32"/>
          <w:highlight w:val="none"/>
          <w:lang w:eastAsia="zh-CN"/>
        </w:rPr>
        <w:t>备案。</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月10日前，各地级以上市农业农村局将本辖区冬春季农作物种子质量监督抽查工作总结报送我厅种业管理处，包括抽查样品清单和选取样品的净度、水分、发芽率检测结果，以及有关查处结果等。</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五、夏秋季农作物种子质量监督抽查工作进度安排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7</w:t>
      </w:r>
      <w:r>
        <w:rPr>
          <w:rFonts w:hint="eastAsia" w:ascii="仿宋_GB2312" w:hAnsi="仿宋_GB2312" w:eastAsia="仿宋_GB2312" w:cs="仿宋_GB2312"/>
          <w:color w:val="auto"/>
          <w:kern w:val="0"/>
          <w:sz w:val="32"/>
          <w:szCs w:val="32"/>
          <w:highlight w:val="none"/>
        </w:rPr>
        <w:t>月20日前，完成种子市场监督检查和抽查扦样工作，并</w:t>
      </w:r>
      <w:r>
        <w:rPr>
          <w:rFonts w:hint="eastAsia" w:ascii="仿宋_GB2312" w:hAnsi="仿宋_GB2312" w:eastAsia="仿宋_GB2312" w:cs="仿宋_GB2312"/>
          <w:color w:val="auto"/>
          <w:kern w:val="0"/>
          <w:sz w:val="32"/>
          <w:szCs w:val="32"/>
          <w:highlight w:val="none"/>
          <w:lang w:val="en-US" w:eastAsia="zh-CN"/>
        </w:rPr>
        <w:t>将</w:t>
      </w:r>
      <w:r>
        <w:rPr>
          <w:rFonts w:hint="eastAsia" w:ascii="仿宋_GB2312" w:hAnsi="仿宋_GB2312" w:eastAsia="仿宋_GB2312" w:cs="仿宋_GB2312"/>
          <w:color w:val="auto"/>
          <w:kern w:val="0"/>
          <w:sz w:val="32"/>
          <w:szCs w:val="32"/>
          <w:highlight w:val="none"/>
        </w:rPr>
        <w:t>省统一监测</w:t>
      </w:r>
      <w:r>
        <w:rPr>
          <w:rFonts w:hint="eastAsia" w:ascii="仿宋_GB2312" w:hAnsi="仿宋_GB2312" w:eastAsia="仿宋_GB2312" w:cs="仿宋_GB2312"/>
          <w:color w:val="auto"/>
          <w:kern w:val="0"/>
          <w:sz w:val="32"/>
          <w:szCs w:val="32"/>
          <w:highlight w:val="none"/>
          <w:lang w:eastAsia="zh-CN"/>
        </w:rPr>
        <w:t>项目的品种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鉴定样品</w:t>
      </w:r>
      <w:r>
        <w:rPr>
          <w:rFonts w:hint="eastAsia" w:ascii="仿宋_GB2312" w:hAnsi="仿宋_GB2312" w:eastAsia="仿宋_GB2312" w:cs="仿宋_GB2312"/>
          <w:color w:val="auto"/>
          <w:kern w:val="0"/>
          <w:sz w:val="32"/>
          <w:szCs w:val="32"/>
          <w:highlight w:val="none"/>
        </w:rPr>
        <w:t>送达相关检测机构。</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11</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15</w:t>
      </w:r>
      <w:r>
        <w:rPr>
          <w:rFonts w:hint="eastAsia" w:ascii="仿宋_GB2312" w:hAnsi="仿宋_GB2312" w:eastAsia="仿宋_GB2312" w:cs="仿宋_GB2312"/>
          <w:color w:val="auto"/>
          <w:kern w:val="0"/>
          <w:sz w:val="32"/>
          <w:szCs w:val="32"/>
          <w:highlight w:val="none"/>
        </w:rPr>
        <w:t>日前，有关种子检验机构将所承担的</w:t>
      </w:r>
      <w:r>
        <w:rPr>
          <w:rFonts w:hint="eastAsia" w:ascii="仿宋_GB2312" w:hAnsi="仿宋_GB2312" w:eastAsia="仿宋_GB2312" w:cs="仿宋_GB2312"/>
          <w:color w:val="auto"/>
          <w:kern w:val="0"/>
          <w:sz w:val="32"/>
          <w:szCs w:val="32"/>
          <w:highlight w:val="none"/>
          <w:lang w:eastAsia="zh-CN"/>
        </w:rPr>
        <w:t>品种</w:t>
      </w:r>
      <w:r>
        <w:rPr>
          <w:rFonts w:hint="eastAsia" w:ascii="仿宋_GB2312" w:hAnsi="仿宋_GB2312" w:eastAsia="仿宋_GB2312" w:cs="仿宋_GB2312"/>
          <w:color w:val="auto"/>
          <w:kern w:val="0"/>
          <w:sz w:val="32"/>
          <w:szCs w:val="32"/>
          <w:highlight w:val="none"/>
        </w:rPr>
        <w:t>真实性</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转基因成分检测和纯度</w:t>
      </w:r>
      <w:r>
        <w:rPr>
          <w:rFonts w:hint="eastAsia" w:ascii="仿宋_GB2312" w:hAnsi="仿宋_GB2312" w:eastAsia="仿宋_GB2312" w:cs="仿宋_GB2312"/>
          <w:color w:val="auto"/>
          <w:kern w:val="0"/>
          <w:sz w:val="32"/>
          <w:szCs w:val="32"/>
          <w:highlight w:val="none"/>
          <w:lang w:eastAsia="zh-CN"/>
        </w:rPr>
        <w:t>鉴定</w:t>
      </w:r>
      <w:r>
        <w:rPr>
          <w:rFonts w:hint="eastAsia" w:ascii="仿宋_GB2312" w:hAnsi="仿宋_GB2312" w:eastAsia="仿宋_GB2312" w:cs="仿宋_GB2312"/>
          <w:color w:val="auto"/>
          <w:kern w:val="0"/>
          <w:sz w:val="32"/>
          <w:szCs w:val="32"/>
          <w:highlight w:val="none"/>
        </w:rPr>
        <w:t>结果反馈相关地级以上市农业农村局</w:t>
      </w:r>
      <w:r>
        <w:rPr>
          <w:rFonts w:hint="eastAsia" w:ascii="仿宋_GB2312" w:hAnsi="仿宋_GB2312" w:eastAsia="仿宋_GB2312" w:cs="仿宋_GB2312"/>
          <w:color w:val="auto"/>
          <w:kern w:val="0"/>
          <w:sz w:val="32"/>
          <w:szCs w:val="32"/>
          <w:highlight w:val="none"/>
          <w:lang w:eastAsia="zh-CN"/>
        </w:rPr>
        <w:t>，并</w:t>
      </w:r>
      <w:r>
        <w:rPr>
          <w:rFonts w:hint="eastAsia" w:ascii="仿宋_GB2312" w:hAnsi="仿宋_GB2312" w:eastAsia="仿宋_GB2312" w:cs="仿宋_GB2312"/>
          <w:color w:val="auto"/>
          <w:kern w:val="0"/>
          <w:sz w:val="32"/>
          <w:szCs w:val="32"/>
          <w:highlight w:val="none"/>
        </w:rPr>
        <w:t>报我厅种业管理处</w:t>
      </w:r>
      <w:r>
        <w:rPr>
          <w:rFonts w:hint="eastAsia" w:ascii="仿宋_GB2312" w:hAnsi="仿宋_GB2312" w:eastAsia="仿宋_GB2312" w:cs="仿宋_GB2312"/>
          <w:color w:val="auto"/>
          <w:kern w:val="0"/>
          <w:sz w:val="32"/>
          <w:szCs w:val="32"/>
          <w:highlight w:val="none"/>
          <w:lang w:eastAsia="zh-CN"/>
        </w:rPr>
        <w:t>备案。</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Cs w:val="32"/>
          <w:highlight w:val="none"/>
        </w:rPr>
      </w:pPr>
      <w:r>
        <w:rPr>
          <w:rFonts w:hint="eastAsia" w:ascii="仿宋_GB2312" w:hAnsi="仿宋_GB2312" w:eastAsia="仿宋_GB2312" w:cs="仿宋_GB2312"/>
          <w:color w:val="auto"/>
          <w:kern w:val="0"/>
          <w:sz w:val="32"/>
          <w:szCs w:val="32"/>
          <w:highlight w:val="none"/>
          <w:lang w:val="en-US" w:eastAsia="zh-CN"/>
        </w:rPr>
        <w:t>12</w:t>
      </w:r>
      <w:r>
        <w:rPr>
          <w:rFonts w:hint="eastAsia" w:ascii="仿宋_GB2312" w:hAnsi="仿宋_GB2312" w:eastAsia="仿宋_GB2312" w:cs="仿宋_GB2312"/>
          <w:color w:val="auto"/>
          <w:kern w:val="0"/>
          <w:sz w:val="32"/>
          <w:szCs w:val="32"/>
          <w:highlight w:val="none"/>
        </w:rPr>
        <w:t>月</w:t>
      </w:r>
      <w:r>
        <w:rPr>
          <w:rFonts w:hint="eastAsia" w:ascii="仿宋_GB2312" w:hAnsi="仿宋_GB2312" w:eastAsia="仿宋_GB2312" w:cs="仿宋_GB2312"/>
          <w:color w:val="auto"/>
          <w:kern w:val="0"/>
          <w:sz w:val="32"/>
          <w:szCs w:val="32"/>
          <w:highlight w:val="none"/>
          <w:lang w:val="en-US" w:eastAsia="zh-CN"/>
        </w:rPr>
        <w:t>8</w:t>
      </w:r>
      <w:r>
        <w:rPr>
          <w:rFonts w:hint="eastAsia" w:ascii="仿宋_GB2312" w:hAnsi="仿宋_GB2312" w:eastAsia="仿宋_GB2312" w:cs="仿宋_GB2312"/>
          <w:color w:val="auto"/>
          <w:kern w:val="0"/>
          <w:sz w:val="32"/>
          <w:szCs w:val="32"/>
          <w:highlight w:val="none"/>
        </w:rPr>
        <w:t>日前，各地级以上市农业农村局将本辖区夏秋季农作物种子质量监督抽查工作总结报送我厅种业管理处，包括抽查样品清单和选取样品的净度、水分、发芽率检测结果</w:t>
      </w:r>
      <w:r>
        <w:rPr>
          <w:rFonts w:hint="eastAsia" w:ascii="仿宋_GB2312" w:hAnsi="仿宋_GB2312" w:eastAsia="仿宋_GB2312" w:cs="仿宋_GB2312"/>
          <w:kern w:val="0"/>
          <w:sz w:val="32"/>
          <w:szCs w:val="32"/>
          <w:highlight w:val="none"/>
        </w:rPr>
        <w:t>，以及有关查处结果等。</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textAlignment w:val="auto"/>
        <w:rPr>
          <w:rFonts w:hint="eastAsia" w:ascii="黑体" w:hAnsi="黑体" w:eastAsia="黑体" w:cs="黑体"/>
          <w:kern w:val="0"/>
          <w:sz w:val="32"/>
          <w:szCs w:val="32"/>
          <w:highlight w:val="none"/>
        </w:rPr>
      </w:pPr>
      <w:r>
        <w:rPr>
          <w:rFonts w:hint="eastAsia" w:ascii="仿宋_GB2312" w:hAnsi="仿宋_GB2312" w:eastAsia="仿宋_GB2312" w:cs="仿宋_GB2312"/>
          <w:kern w:val="0"/>
          <w:sz w:val="32"/>
          <w:szCs w:val="32"/>
          <w:highlight w:val="none"/>
        </w:rPr>
        <w:br w:type="page"/>
      </w:r>
      <w:r>
        <w:rPr>
          <w:rFonts w:hint="eastAsia" w:ascii="黑体" w:hAnsi="黑体" w:eastAsia="黑体" w:cs="黑体"/>
          <w:kern w:val="0"/>
          <w:sz w:val="32"/>
          <w:szCs w:val="32"/>
          <w:highlight w:val="none"/>
        </w:rPr>
        <w:t>附件2</w:t>
      </w:r>
    </w:p>
    <w:p>
      <w:pPr>
        <w:adjustRightInd w:val="0"/>
        <w:snapToGrid w:val="0"/>
        <w:spacing w:line="590" w:lineRule="exact"/>
        <w:ind w:firstLine="632" w:firstLineChars="200"/>
        <w:rPr>
          <w:rFonts w:hint="eastAsia" w:ascii="仿宋_GB2312" w:hAnsi="仿宋_GB2312" w:eastAsia="仿宋_GB2312"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202</w:t>
      </w:r>
      <w:r>
        <w:rPr>
          <w:rFonts w:hint="eastAsia" w:ascii="方正小标宋简体" w:hAnsi="方正小标宋简体" w:eastAsia="方正小标宋简体" w:cs="方正小标宋简体"/>
          <w:kern w:val="0"/>
          <w:sz w:val="44"/>
          <w:szCs w:val="44"/>
          <w:highlight w:val="none"/>
          <w:lang w:val="en-US" w:eastAsia="zh-CN"/>
        </w:rPr>
        <w:t>4</w:t>
      </w:r>
      <w:r>
        <w:rPr>
          <w:rFonts w:hint="eastAsia" w:ascii="方正小标宋简体" w:hAnsi="方正小标宋简体" w:eastAsia="方正小标宋简体" w:cs="方正小标宋简体"/>
          <w:kern w:val="0"/>
          <w:sz w:val="44"/>
          <w:szCs w:val="44"/>
          <w:highlight w:val="none"/>
        </w:rPr>
        <w:t>年广东省桑蚕种质量监督</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jc w:val="center"/>
        <w:textAlignment w:val="auto"/>
        <w:rPr>
          <w:rFonts w:hint="eastAsia" w:ascii="方正小标宋简体" w:hAnsi="方正小标宋简体" w:eastAsia="方正小标宋简体" w:cs="方正小标宋简体"/>
          <w:kern w:val="0"/>
          <w:sz w:val="44"/>
          <w:szCs w:val="44"/>
          <w:highlight w:val="none"/>
        </w:rPr>
      </w:pPr>
      <w:r>
        <w:rPr>
          <w:rFonts w:hint="eastAsia" w:ascii="方正小标宋简体" w:hAnsi="方正小标宋简体" w:eastAsia="方正小标宋简体" w:cs="方正小标宋简体"/>
          <w:kern w:val="0"/>
          <w:sz w:val="44"/>
          <w:szCs w:val="44"/>
          <w:highlight w:val="none"/>
        </w:rPr>
        <w:t>抽查工作任务安排</w:t>
      </w:r>
    </w:p>
    <w:p>
      <w:pPr>
        <w:adjustRightInd w:val="0"/>
        <w:snapToGrid w:val="0"/>
        <w:spacing w:line="590" w:lineRule="exact"/>
        <w:ind w:firstLine="632" w:firstLineChars="200"/>
        <w:rPr>
          <w:rFonts w:hint="eastAsia" w:ascii="仿宋_GB2312" w:hAnsi="仿宋_GB2312" w:eastAsia="仿宋_GB2312" w:cs="仿宋_GB2312"/>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一、抽查对象和范围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抽查对象为202</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年生产浸酸整理后的桑蚕原种、桑蚕一代杂交种。抽查范围为我省桑蚕原种、桑蚕一代杂交种生产企业</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广东丝源集团有限公司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广州天河区科华街1号自编1号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翁源县长和茧丝有限公司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韶关</w:t>
      </w:r>
      <w:r>
        <w:rPr>
          <w:rFonts w:hint="eastAsia" w:ascii="仿宋_GB2312" w:hAnsi="仿宋_GB2312" w:eastAsia="仿宋_GB2312" w:cs="仿宋_GB2312"/>
          <w:kern w:val="0"/>
          <w:sz w:val="32"/>
          <w:szCs w:val="32"/>
          <w:highlight w:val="none"/>
        </w:rPr>
        <w:t>翁源县龙仙镇环城北路北六巷18号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韶关市宝桑园蚕业科技有限公司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韶关仁化县</w:t>
      </w:r>
      <w:r>
        <w:rPr>
          <w:rFonts w:hint="eastAsia" w:ascii="仿宋_GB2312" w:hAnsi="仿宋_GB2312" w:eastAsia="仿宋_GB2312" w:cs="仿宋_GB2312"/>
          <w:kern w:val="0"/>
          <w:sz w:val="32"/>
          <w:szCs w:val="32"/>
          <w:highlight w:val="none"/>
        </w:rPr>
        <w:t>建设路3-98号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广东丝源集团有限公司阳山分公司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清远</w:t>
      </w:r>
      <w:r>
        <w:rPr>
          <w:rFonts w:hint="eastAsia" w:ascii="仿宋_GB2312" w:hAnsi="仿宋_GB2312" w:eastAsia="仿宋_GB2312" w:cs="仿宋_GB2312"/>
          <w:kern w:val="0"/>
          <w:sz w:val="32"/>
          <w:szCs w:val="32"/>
          <w:highlight w:val="none"/>
        </w:rPr>
        <w:t>阳山县城南大岗路11号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广东丝源集团有限公司罗定分公司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云浮</w:t>
      </w:r>
      <w:r>
        <w:rPr>
          <w:rFonts w:hint="eastAsia" w:ascii="仿宋_GB2312" w:hAnsi="仿宋_GB2312" w:eastAsia="仿宋_GB2312" w:cs="仿宋_GB2312"/>
          <w:kern w:val="0"/>
          <w:sz w:val="32"/>
          <w:szCs w:val="32"/>
          <w:highlight w:val="none"/>
        </w:rPr>
        <w:t>罗定市罗城镇兴业路3号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化州市丝源蚕业有限公司</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茂名</w:t>
      </w:r>
      <w:r>
        <w:rPr>
          <w:rFonts w:hint="eastAsia" w:ascii="仿宋_GB2312" w:hAnsi="仿宋_GB2312" w:eastAsia="仿宋_GB2312" w:cs="仿宋_GB2312"/>
          <w:kern w:val="0"/>
          <w:sz w:val="32"/>
          <w:szCs w:val="32"/>
          <w:highlight w:val="none"/>
        </w:rPr>
        <w:t>化州市鉴江区向阳路31号</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怀集县桃源蚕业良种场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肇庆怀集县梁村镇花石村</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二、抽样时间与方案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（一）抽样时间</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年2月中下旬。</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（二）桑蚕原种抽查我省桑蚕原种生产企业</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default"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rPr>
        <w:t>抽样批次</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rPr>
        <w:t>每个原种生产企业抽查不少于2个批次。</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default"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rPr>
        <w:t>抽样数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以制种批次为单位，每批次随机选择3个以上的抽样点，500张及以下每批次抽10张，501～1000张的每批次抽20张，1000张以上的每批次抽30张。现场检验相关参数后，每批次再随机抽取其中2张作为样品，其中1张用于检验，1张为备样。</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（三）桑蚕一代杂交种抽查我省桑蚕一代杂交种生产企业</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抽样批次</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根据生产企业当年桑蚕一代杂交种的生产量确定抽样批次，年生产量4万张以下的蚕种生产企业抽取6个批次，4～7万张的蚕种生产企业抽取10个批次，7～10万张的蚕种生产企业抽取12个批次，10万张以上（含10万）的蚕种生产企业抽取14个批次。</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抽样数</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每批次随机选择3个以上的样点，随机抽取10大张（本）蚕种，再随机抽取其中2张蚕种做样品，其中1张用于检验，1张为备样。</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三、检验标准和项目</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（一）桑蚕原种</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按《桑蚕原种》（GB 19179-2003）和《桑蚕原种检验规程》（GB/T 19178-2003）检验，检验项目包括：外观包装（单蛾良卵数、折净率、标签、合格证）、每张良卵数、良卵率、实用孵化率、病卵率。</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楷体_GB2312" w:hAnsi="楷体_GB2312" w:eastAsia="楷体_GB2312" w:cs="楷体_GB2312"/>
          <w:kern w:val="0"/>
          <w:sz w:val="32"/>
          <w:szCs w:val="32"/>
          <w:highlight w:val="none"/>
        </w:rPr>
      </w:pPr>
      <w:r>
        <w:rPr>
          <w:rFonts w:hint="eastAsia" w:ascii="楷体_GB2312" w:hAnsi="楷体_GB2312" w:eastAsia="楷体_GB2312" w:cs="楷体_GB2312"/>
          <w:kern w:val="0"/>
          <w:sz w:val="32"/>
          <w:szCs w:val="32"/>
          <w:highlight w:val="none"/>
        </w:rPr>
        <w:t>（二）桑蚕一代杂交种</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按《桑蚕一代杂交种》（NY 326-1997）和《桑蚕一代杂交种检验规程》（NY/T 327-1997）检验，检验项目包括：外观包装(合格证、标签)、良卵率、实用孵化率、病卵率。</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四、</w:t>
      </w:r>
      <w:r>
        <w:rPr>
          <w:rFonts w:hint="eastAsia" w:ascii="黑体" w:hAnsi="黑体" w:eastAsia="黑体" w:cs="黑体"/>
          <w:kern w:val="0"/>
          <w:sz w:val="32"/>
          <w:szCs w:val="32"/>
          <w:highlight w:val="none"/>
          <w:lang w:eastAsia="zh-CN"/>
        </w:rPr>
        <w:t>抽</w:t>
      </w:r>
      <w:r>
        <w:rPr>
          <w:rFonts w:hint="eastAsia" w:ascii="黑体" w:hAnsi="黑体" w:eastAsia="黑体" w:cs="黑体"/>
          <w:kern w:val="0"/>
          <w:sz w:val="32"/>
          <w:szCs w:val="32"/>
          <w:highlight w:val="none"/>
        </w:rPr>
        <w:t>检机构</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202</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年度桑蚕种质量监督抽查与检验工作由广东省蚕业技术推广中心（广东省蚕业产品检测中心）承担。</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五、工作要求</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（一）各有关市、县（区）农业</w:t>
      </w:r>
      <w:r>
        <w:rPr>
          <w:rFonts w:hint="eastAsia" w:ascii="仿宋_GB2312" w:hAnsi="仿宋_GB2312" w:eastAsia="仿宋_GB2312" w:cs="仿宋_GB2312"/>
          <w:kern w:val="0"/>
          <w:sz w:val="32"/>
          <w:szCs w:val="32"/>
          <w:highlight w:val="none"/>
          <w:lang w:eastAsia="zh-CN"/>
        </w:rPr>
        <w:t>农村</w:t>
      </w:r>
      <w:r>
        <w:rPr>
          <w:rFonts w:hint="eastAsia" w:ascii="仿宋_GB2312" w:hAnsi="仿宋_GB2312" w:eastAsia="仿宋_GB2312" w:cs="仿宋_GB2312"/>
          <w:kern w:val="0"/>
          <w:sz w:val="32"/>
          <w:szCs w:val="32"/>
          <w:highlight w:val="none"/>
        </w:rPr>
        <w:t>主管部门要积极配合</w:t>
      </w:r>
      <w:r>
        <w:rPr>
          <w:rFonts w:hint="eastAsia" w:ascii="仿宋_GB2312" w:hAnsi="仿宋_GB2312" w:eastAsia="仿宋_GB2312" w:cs="仿宋_GB2312"/>
          <w:kern w:val="0"/>
          <w:sz w:val="32"/>
          <w:szCs w:val="32"/>
          <w:highlight w:val="none"/>
          <w:lang w:eastAsia="zh-CN"/>
        </w:rPr>
        <w:t>抽检机构</w:t>
      </w:r>
      <w:r>
        <w:rPr>
          <w:rFonts w:hint="eastAsia" w:ascii="仿宋_GB2312" w:hAnsi="仿宋_GB2312" w:eastAsia="仿宋_GB2312" w:cs="仿宋_GB2312"/>
          <w:kern w:val="0"/>
          <w:sz w:val="32"/>
          <w:szCs w:val="32"/>
          <w:highlight w:val="none"/>
        </w:rPr>
        <w:t>做好辖区内桑蚕种质量监督抽查工作，保障抽查顺利开展。</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（二）严格按照《蚕种管理办法》以及有关法律法规、现行相关技术标准的要求开展抽样和检测工作，按程序认真履行职责，要求样品证据链完整，科学规范开展扦样和检测工作。</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（三）桑蚕种生产季节性强，</w:t>
      </w:r>
      <w:r>
        <w:rPr>
          <w:rFonts w:hint="eastAsia" w:ascii="仿宋_GB2312" w:hAnsi="仿宋_GB2312" w:eastAsia="仿宋_GB2312" w:cs="仿宋_GB2312"/>
          <w:kern w:val="0"/>
          <w:sz w:val="32"/>
          <w:szCs w:val="32"/>
          <w:highlight w:val="none"/>
          <w:lang w:eastAsia="zh-CN"/>
        </w:rPr>
        <w:t>抽检</w:t>
      </w:r>
      <w:r>
        <w:rPr>
          <w:rFonts w:hint="eastAsia" w:ascii="仿宋_GB2312" w:hAnsi="仿宋_GB2312" w:eastAsia="仿宋_GB2312" w:cs="仿宋_GB2312"/>
          <w:kern w:val="0"/>
          <w:sz w:val="32"/>
          <w:szCs w:val="32"/>
          <w:highlight w:val="none"/>
        </w:rPr>
        <w:t>机构应在蚕种生产经营储藏期间科学合理安排，完成样品抽取、检测和结果报送工作，确保监督抽查工作的时效性。在抽查工作中发现的新情况、新问题，</w:t>
      </w:r>
      <w:r>
        <w:rPr>
          <w:rFonts w:hint="eastAsia" w:ascii="仿宋_GB2312" w:hAnsi="仿宋_GB2312" w:eastAsia="仿宋_GB2312" w:cs="仿宋_GB2312"/>
          <w:kern w:val="0"/>
          <w:sz w:val="32"/>
          <w:szCs w:val="32"/>
          <w:highlight w:val="none"/>
          <w:lang w:val="en-US" w:eastAsia="zh-CN"/>
        </w:rPr>
        <w:t>应</w:t>
      </w:r>
      <w:r>
        <w:rPr>
          <w:rFonts w:hint="eastAsia" w:ascii="仿宋_GB2312" w:hAnsi="仿宋_GB2312" w:eastAsia="仿宋_GB2312" w:cs="仿宋_GB2312"/>
          <w:kern w:val="0"/>
          <w:sz w:val="32"/>
          <w:szCs w:val="32"/>
          <w:highlight w:val="none"/>
        </w:rPr>
        <w:t>及时上报省农业农村厅。</w:t>
      </w:r>
    </w:p>
    <w:p>
      <w:pPr>
        <w:keepNext w:val="0"/>
        <w:keepLines w:val="0"/>
        <w:pageBreakBefore w:val="0"/>
        <w:widowControl w:val="0"/>
        <w:kinsoku/>
        <w:wordWrap/>
        <w:overflowPunct/>
        <w:topLinePunct w:val="0"/>
        <w:autoSpaceDE/>
        <w:autoSpaceDN/>
        <w:bidi w:val="0"/>
        <w:adjustRightInd w:val="0"/>
        <w:snapToGrid w:val="0"/>
        <w:spacing w:line="590" w:lineRule="exact"/>
        <w:ind w:firstLine="632" w:firstLineChars="200"/>
        <w:jc w:val="both"/>
        <w:textAlignment w:val="auto"/>
        <w:rPr>
          <w:rFonts w:hint="eastAsia" w:ascii="仿宋_GB2312" w:hAnsi="仿宋_GB2312" w:eastAsia="仿宋_GB2312" w:cs="仿宋_GB2312"/>
          <w:b w:val="0"/>
          <w:bCs w:val="0"/>
          <w:color w:val="000000"/>
          <w:kern w:val="0"/>
          <w:sz w:val="32"/>
          <w:szCs w:val="32"/>
          <w:highlight w:val="none"/>
        </w:rPr>
      </w:pPr>
    </w:p>
    <w:p>
      <w:pPr>
        <w:adjustRightInd w:val="0"/>
        <w:snapToGrid w:val="0"/>
        <w:spacing w:line="590" w:lineRule="exact"/>
        <w:rPr>
          <w:rFonts w:hint="eastAsia" w:ascii="仿宋_GB2312" w:hAnsi="仿宋_GB2312" w:eastAsia="仿宋_GB2312" w:cs="仿宋_GB2312"/>
          <w:kern w:val="0"/>
          <w:szCs w:val="32"/>
          <w:highlight w:val="none"/>
        </w:rPr>
      </w:pPr>
    </w:p>
    <w:p>
      <w:pPr>
        <w:rPr>
          <w:rFonts w:hint="eastAsia"/>
          <w:highlight w:val="none"/>
        </w:rPr>
        <w:sectPr>
          <w:footerReference r:id="rId3" w:type="default"/>
          <w:pgSz w:w="11906" w:h="16838"/>
          <w:pgMar w:top="1871" w:right="1531" w:bottom="1871" w:left="1531" w:header="851" w:footer="1418" w:gutter="0"/>
          <w:cols w:space="720" w:num="1"/>
          <w:titlePg/>
          <w:docGrid w:type="linesAndChars" w:linePitch="590" w:charSpace="-1024"/>
        </w:sectPr>
      </w:pPr>
    </w:p>
    <w:p>
      <w:pPr>
        <w:adjustRightInd w:val="0"/>
        <w:snapToGrid w:val="0"/>
        <w:spacing w:line="590" w:lineRule="exact"/>
        <w:rPr>
          <w:rFonts w:hint="eastAsia" w:ascii="黑体" w:hAnsi="黑体" w:eastAsia="黑体" w:cs="黑体"/>
          <w:sz w:val="32"/>
          <w:szCs w:val="32"/>
          <w:highlight w:val="none"/>
        </w:rPr>
      </w:pPr>
      <w:r>
        <w:rPr>
          <w:rFonts w:hint="eastAsia" w:ascii="黑体" w:hAnsi="黑体" w:eastAsia="黑体" w:cs="黑体"/>
          <w:sz w:val="32"/>
          <w:szCs w:val="32"/>
          <w:highlight w:val="none"/>
        </w:rPr>
        <w:t>附件3</w:t>
      </w:r>
    </w:p>
    <w:p>
      <w:pPr>
        <w:pStyle w:val="4"/>
        <w:adjustRightInd w:val="0"/>
        <w:snapToGrid w:val="0"/>
        <w:spacing w:after="0" w:line="590" w:lineRule="exact"/>
        <w:ind w:left="0" w:leftChars="0" w:firstLine="0" w:firstLineChars="0"/>
        <w:rPr>
          <w:rFonts w:hint="eastAsia" w:ascii="黑体" w:hAnsi="黑体" w:eastAsia="黑体" w:cs="黑体"/>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年广东省农作物种子质量监督抽查</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eastAsia="zh-CN"/>
        </w:rPr>
        <w:t>省统一监测</w:t>
      </w:r>
      <w:r>
        <w:rPr>
          <w:rFonts w:hint="eastAsia" w:ascii="方正小标宋简体" w:hAnsi="方正小标宋简体" w:eastAsia="方正小标宋简体" w:cs="方正小标宋简体"/>
          <w:sz w:val="44"/>
          <w:szCs w:val="44"/>
          <w:highlight w:val="none"/>
        </w:rPr>
        <w:t>项目</w:t>
      </w:r>
      <w:r>
        <w:rPr>
          <w:rFonts w:hint="eastAsia" w:ascii="方正小标宋简体" w:hAnsi="方正小标宋简体" w:eastAsia="方正小标宋简体" w:cs="方正小标宋简体"/>
          <w:sz w:val="44"/>
          <w:szCs w:val="44"/>
          <w:highlight w:val="none"/>
          <w:lang w:val="en-US" w:eastAsia="zh-CN"/>
        </w:rPr>
        <w:t>样品数量</w:t>
      </w:r>
      <w:r>
        <w:rPr>
          <w:rFonts w:hint="eastAsia" w:ascii="方正小标宋简体" w:hAnsi="方正小标宋简体" w:eastAsia="方正小标宋简体" w:cs="方正小标宋简体"/>
          <w:sz w:val="44"/>
          <w:szCs w:val="44"/>
          <w:highlight w:val="none"/>
        </w:rPr>
        <w:t>清单</w:t>
      </w: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rPr>
      </w:pPr>
    </w:p>
    <w:tbl>
      <w:tblPr>
        <w:tblStyle w:val="5"/>
        <w:tblW w:w="13448" w:type="dxa"/>
        <w:jc w:val="center"/>
        <w:tblLayout w:type="fixed"/>
        <w:tblCellMar>
          <w:top w:w="15" w:type="dxa"/>
          <w:left w:w="15" w:type="dxa"/>
          <w:bottom w:w="15" w:type="dxa"/>
          <w:right w:w="15" w:type="dxa"/>
        </w:tblCellMar>
      </w:tblPr>
      <w:tblGrid>
        <w:gridCol w:w="566"/>
        <w:gridCol w:w="566"/>
        <w:gridCol w:w="582"/>
        <w:gridCol w:w="610"/>
        <w:gridCol w:w="560"/>
        <w:gridCol w:w="640"/>
        <w:gridCol w:w="665"/>
        <w:gridCol w:w="828"/>
        <w:gridCol w:w="566"/>
        <w:gridCol w:w="566"/>
        <w:gridCol w:w="566"/>
        <w:gridCol w:w="566"/>
        <w:gridCol w:w="899"/>
        <w:gridCol w:w="710"/>
        <w:gridCol w:w="650"/>
        <w:gridCol w:w="650"/>
        <w:gridCol w:w="600"/>
        <w:gridCol w:w="640"/>
        <w:gridCol w:w="678"/>
        <w:gridCol w:w="610"/>
        <w:gridCol w:w="730"/>
      </w:tblGrid>
      <w:tr>
        <w:tblPrEx>
          <w:tblCellMar>
            <w:top w:w="15" w:type="dxa"/>
            <w:left w:w="15" w:type="dxa"/>
            <w:bottom w:w="15" w:type="dxa"/>
            <w:right w:w="15" w:type="dxa"/>
          </w:tblCellMar>
        </w:tblPrEx>
        <w:trPr>
          <w:tblHeader/>
          <w:jc w:val="center"/>
        </w:trPr>
        <w:tc>
          <w:tcPr>
            <w:tcW w:w="566" w:type="dxa"/>
            <w:vMerge w:val="restart"/>
            <w:tcBorders>
              <w:top w:val="single" w:color="000000" w:sz="4" w:space="0"/>
              <w:left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市别</w:t>
            </w:r>
          </w:p>
        </w:tc>
        <w:tc>
          <w:tcPr>
            <w:tcW w:w="4451"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品种真实性检测</w:t>
            </w:r>
          </w:p>
        </w:tc>
        <w:tc>
          <w:tcPr>
            <w:tcW w:w="3873"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转基因成分检测</w:t>
            </w:r>
          </w:p>
        </w:tc>
        <w:tc>
          <w:tcPr>
            <w:tcW w:w="4558" w:type="dxa"/>
            <w:gridSpan w:val="7"/>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田间种植鉴定</w:t>
            </w:r>
          </w:p>
        </w:tc>
      </w:tr>
      <w:tr>
        <w:tblPrEx>
          <w:tblCellMar>
            <w:top w:w="15" w:type="dxa"/>
            <w:left w:w="15" w:type="dxa"/>
            <w:bottom w:w="15" w:type="dxa"/>
            <w:right w:w="15" w:type="dxa"/>
          </w:tblCellMar>
        </w:tblPrEx>
        <w:trPr>
          <w:tblHeader/>
          <w:jc w:val="center"/>
        </w:trPr>
        <w:tc>
          <w:tcPr>
            <w:tcW w:w="566" w:type="dxa"/>
            <w:vMerge w:val="continue"/>
            <w:tcBorders>
              <w:left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p>
        </w:tc>
        <w:tc>
          <w:tcPr>
            <w:tcW w:w="2318" w:type="dxa"/>
            <w:gridSpan w:val="4"/>
            <w:tcBorders>
              <w:top w:val="single" w:color="auto"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冬春季抽取样品</w:t>
            </w:r>
          </w:p>
        </w:tc>
        <w:tc>
          <w:tcPr>
            <w:tcW w:w="13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kern w:val="0"/>
                <w:sz w:val="24"/>
                <w:szCs w:val="24"/>
                <w:highlight w:val="none"/>
                <w:lang w:bidi="ar"/>
              </w:rPr>
            </w:pPr>
            <w:r>
              <w:rPr>
                <w:rFonts w:hint="eastAsia" w:ascii="黑体" w:hAnsi="黑体" w:eastAsia="黑体" w:cs="黑体"/>
                <w:kern w:val="0"/>
                <w:sz w:val="24"/>
                <w:szCs w:val="24"/>
                <w:highlight w:val="none"/>
                <w:lang w:bidi="ar"/>
              </w:rPr>
              <w:t>夏秋抽取</w:t>
            </w:r>
          </w:p>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样品</w:t>
            </w:r>
          </w:p>
        </w:tc>
        <w:tc>
          <w:tcPr>
            <w:tcW w:w="82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小计</w:t>
            </w:r>
          </w:p>
        </w:tc>
        <w:tc>
          <w:tcPr>
            <w:tcW w:w="2264"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冬春季抽取样品</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夏秋抽取样品</w:t>
            </w:r>
          </w:p>
        </w:tc>
        <w:tc>
          <w:tcPr>
            <w:tcW w:w="71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小计</w:t>
            </w:r>
          </w:p>
        </w:tc>
        <w:tc>
          <w:tcPr>
            <w:tcW w:w="254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冬春季抽取样品</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黑体" w:hAnsi="黑体" w:eastAsia="黑体" w:cs="黑体"/>
                <w:kern w:val="0"/>
                <w:sz w:val="24"/>
                <w:szCs w:val="24"/>
                <w:highlight w:val="none"/>
                <w:lang w:bidi="ar"/>
              </w:rPr>
            </w:pPr>
            <w:r>
              <w:rPr>
                <w:rFonts w:hint="eastAsia" w:ascii="黑体" w:hAnsi="黑体" w:eastAsia="黑体" w:cs="黑体"/>
                <w:kern w:val="0"/>
                <w:sz w:val="24"/>
                <w:szCs w:val="24"/>
                <w:highlight w:val="none"/>
                <w:lang w:bidi="ar"/>
              </w:rPr>
              <w:t>夏秋抽取</w:t>
            </w:r>
          </w:p>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样品</w:t>
            </w:r>
          </w:p>
        </w:tc>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小计</w:t>
            </w:r>
          </w:p>
        </w:tc>
      </w:tr>
      <w:tr>
        <w:tblPrEx>
          <w:tblCellMar>
            <w:top w:w="15" w:type="dxa"/>
            <w:left w:w="15" w:type="dxa"/>
            <w:bottom w:w="15" w:type="dxa"/>
            <w:right w:w="15" w:type="dxa"/>
          </w:tblCellMar>
        </w:tblPrEx>
        <w:trPr>
          <w:tblHeader/>
          <w:jc w:val="center"/>
        </w:trPr>
        <w:tc>
          <w:tcPr>
            <w:tcW w:w="566" w:type="dxa"/>
            <w:vMerge w:val="continue"/>
            <w:tcBorders>
              <w:left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114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企业</w:t>
            </w:r>
          </w:p>
        </w:tc>
        <w:tc>
          <w:tcPr>
            <w:tcW w:w="117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130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11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企业</w:t>
            </w:r>
          </w:p>
        </w:tc>
        <w:tc>
          <w:tcPr>
            <w:tcW w:w="1132"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130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企业</w:t>
            </w:r>
          </w:p>
        </w:tc>
        <w:tc>
          <w:tcPr>
            <w:tcW w:w="124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128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市场</w:t>
            </w: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r>
      <w:tr>
        <w:tblPrEx>
          <w:tblCellMar>
            <w:top w:w="15" w:type="dxa"/>
            <w:left w:w="15" w:type="dxa"/>
            <w:bottom w:w="15" w:type="dxa"/>
            <w:right w:w="15" w:type="dxa"/>
          </w:tblCellMar>
        </w:tblPrEx>
        <w:trPr>
          <w:tblHeader/>
          <w:jc w:val="center"/>
        </w:trPr>
        <w:tc>
          <w:tcPr>
            <w:tcW w:w="566" w:type="dxa"/>
            <w:vMerge w:val="continue"/>
            <w:tcBorders>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828"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71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水稻</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黑体" w:hAnsi="黑体" w:eastAsia="黑体" w:cs="黑体"/>
                <w:sz w:val="24"/>
                <w:szCs w:val="24"/>
                <w:highlight w:val="none"/>
              </w:rPr>
            </w:pPr>
            <w:r>
              <w:rPr>
                <w:rFonts w:hint="eastAsia" w:ascii="黑体" w:hAnsi="黑体" w:eastAsia="黑体" w:cs="黑体"/>
                <w:kern w:val="0"/>
                <w:sz w:val="24"/>
                <w:szCs w:val="24"/>
                <w:highlight w:val="none"/>
                <w:lang w:bidi="ar"/>
              </w:rPr>
              <w:t>玉米</w:t>
            </w:r>
          </w:p>
        </w:tc>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340" w:lineRule="exact"/>
              <w:jc w:val="center"/>
              <w:rPr>
                <w:rFonts w:ascii="黑体" w:hAnsi="黑体" w:eastAsia="黑体" w:cs="黑体"/>
                <w:sz w:val="24"/>
                <w:szCs w:val="24"/>
                <w:highlight w:val="none"/>
              </w:rPr>
            </w:pP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广州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1</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3</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4</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16</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深圳</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3</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珠海</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4</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汕头</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kern w:val="0"/>
                <w:sz w:val="22"/>
                <w:szCs w:val="22"/>
                <w:highlight w:val="none"/>
                <w:lang w:val="en" w:bidi="ar"/>
              </w:rPr>
            </w:pPr>
            <w:r>
              <w:rPr>
                <w:rFonts w:hint="default" w:ascii="仿宋_GB2312" w:hAnsi="仿宋_GB2312" w:eastAsia="仿宋_GB2312" w:cs="仿宋_GB2312"/>
                <w:kern w:val="0"/>
                <w:sz w:val="22"/>
                <w:szCs w:val="22"/>
                <w:highlight w:val="none"/>
                <w:lang w:val="en" w:eastAsia="zh-CN" w:bidi="ar"/>
              </w:rPr>
              <w:t>4</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kern w:val="0"/>
                <w:sz w:val="22"/>
                <w:szCs w:val="22"/>
                <w:highlight w:val="none"/>
                <w:lang w:val="en" w:bidi="ar"/>
              </w:rPr>
            </w:pPr>
            <w:r>
              <w:rPr>
                <w:rFonts w:hint="default" w:ascii="仿宋_GB2312" w:hAnsi="仿宋_GB2312" w:eastAsia="仿宋_GB2312" w:cs="仿宋_GB2312"/>
                <w:kern w:val="0"/>
                <w:sz w:val="22"/>
                <w:szCs w:val="22"/>
                <w:highlight w:val="none"/>
                <w:lang w:val="en" w:eastAsia="zh-CN" w:bidi="ar"/>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8</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佛山</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韶关</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9</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15</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河源</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kern w:val="0"/>
                <w:sz w:val="22"/>
                <w:szCs w:val="22"/>
                <w:highlight w:val="none"/>
                <w:lang w:bidi="ar"/>
              </w:rPr>
              <w:t>1</w:t>
            </w:r>
            <w:r>
              <w:rPr>
                <w:rFonts w:hint="eastAsia" w:ascii="仿宋_GB2312" w:hAnsi="仿宋_GB2312" w:eastAsia="仿宋_GB2312" w:cs="仿宋_GB2312"/>
                <w:b w:val="0"/>
                <w:bCs/>
                <w:color w:val="auto"/>
                <w:kern w:val="0"/>
                <w:sz w:val="22"/>
                <w:szCs w:val="22"/>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2</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4</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kern w:val="0"/>
                <w:sz w:val="22"/>
                <w:szCs w:val="22"/>
                <w:highlight w:val="none"/>
                <w:lang w:bidi="ar"/>
              </w:rPr>
            </w:pPr>
            <w:r>
              <w:rPr>
                <w:rFonts w:hint="eastAsia" w:ascii="仿宋_GB2312" w:hAnsi="仿宋_GB2312" w:eastAsia="仿宋_GB2312" w:cs="仿宋_GB2312"/>
                <w:kern w:val="0"/>
                <w:sz w:val="22"/>
                <w:szCs w:val="22"/>
                <w:highlight w:val="none"/>
                <w:lang w:val="en-US" w:eastAsia="zh-CN" w:bidi="ar"/>
              </w:rPr>
              <w:t>13</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梅州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惠州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kern w:val="0"/>
                <w:sz w:val="22"/>
                <w:szCs w:val="22"/>
                <w:highlight w:val="none"/>
                <w:lang w:val="en-US" w:eastAsia="zh-CN"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17</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汕尾</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东莞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中山</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江门</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color w:val="auto"/>
                <w:sz w:val="24"/>
                <w:szCs w:val="24"/>
                <w:highlight w:val="none"/>
                <w:lang w:val="en"/>
              </w:rPr>
            </w:pPr>
            <w:r>
              <w:rPr>
                <w:rFonts w:hint="default" w:ascii="仿宋_GB2312" w:hAnsi="仿宋_GB2312" w:eastAsia="仿宋_GB2312" w:cs="仿宋_GB2312"/>
                <w:color w:val="auto"/>
                <w:kern w:val="0"/>
                <w:sz w:val="22"/>
                <w:szCs w:val="22"/>
                <w:highlight w:val="none"/>
                <w:lang w:val="en" w:bidi="ar"/>
              </w:rPr>
              <w:t>2</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color w:val="auto"/>
                <w:sz w:val="24"/>
                <w:szCs w:val="24"/>
                <w:highlight w:val="none"/>
                <w:lang w:val="en"/>
              </w:rPr>
            </w:pPr>
            <w:r>
              <w:rPr>
                <w:rFonts w:hint="eastAsia" w:ascii="仿宋_GB2312" w:hAnsi="仿宋_GB2312" w:eastAsia="仿宋_GB2312" w:cs="仿宋_GB2312"/>
                <w:color w:val="auto"/>
                <w:kern w:val="0"/>
                <w:sz w:val="22"/>
                <w:szCs w:val="22"/>
                <w:highlight w:val="none"/>
                <w:lang w:bidi="ar"/>
              </w:rPr>
              <w:t>1</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7</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阳江</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8</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16</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湛江</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7</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5</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6</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7</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3</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 w:eastAsia="zh-CN"/>
              </w:rPr>
              <w:t>9</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茂名</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17</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22</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肇庆</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9</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15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13</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清远</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5</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10</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潮州</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1</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14</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揭阳</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2</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 w:eastAsia="zh-CN"/>
              </w:rPr>
              <w:t>5</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云浮</w:t>
            </w:r>
          </w:p>
        </w:tc>
        <w:tc>
          <w:tcPr>
            <w:tcW w:w="566" w:type="dxa"/>
            <w:tcBorders>
              <w:top w:val="single" w:color="000000" w:sz="4" w:space="0"/>
              <w:left w:val="single" w:color="000000" w:sz="4" w:space="0"/>
              <w:bottom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9</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0</w:t>
            </w:r>
          </w:p>
        </w:tc>
        <w:tc>
          <w:tcPr>
            <w:tcW w:w="89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2"/>
                <w:szCs w:val="22"/>
                <w:highlight w:val="none"/>
                <w:lang w:bidi="ar"/>
              </w:rPr>
              <w:t>4</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2"/>
                <w:szCs w:val="22"/>
                <w:highlight w:val="none"/>
                <w:lang w:bidi="ar"/>
              </w:rPr>
              <w:t>8</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0</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11</w:t>
            </w:r>
          </w:p>
        </w:tc>
      </w:tr>
      <w:tr>
        <w:tblPrEx>
          <w:tblCellMar>
            <w:top w:w="15" w:type="dxa"/>
            <w:left w:w="15" w:type="dxa"/>
            <w:bottom w:w="15" w:type="dxa"/>
            <w:right w:w="15" w:type="dxa"/>
          </w:tblCellMar>
        </w:tblPrEx>
        <w:trPr>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kern w:val="0"/>
                <w:sz w:val="24"/>
                <w:szCs w:val="24"/>
                <w:highlight w:val="none"/>
                <w:lang w:bidi="ar"/>
              </w:rPr>
              <w:t>合计</w:t>
            </w:r>
          </w:p>
        </w:tc>
        <w:tc>
          <w:tcPr>
            <w:tcW w:w="56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24</w:t>
            </w:r>
          </w:p>
        </w:tc>
        <w:tc>
          <w:tcPr>
            <w:tcW w:w="58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72</w:t>
            </w:r>
          </w:p>
        </w:tc>
        <w:tc>
          <w:tcPr>
            <w:tcW w:w="56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4</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5</w:t>
            </w:r>
            <w:r>
              <w:rPr>
                <w:rFonts w:hint="default" w:ascii="仿宋_GB2312" w:hAnsi="仿宋_GB2312" w:eastAsia="仿宋_GB2312" w:cs="仿宋_GB2312"/>
                <w:sz w:val="24"/>
                <w:szCs w:val="24"/>
                <w:highlight w:val="none"/>
                <w:lang w:val="en" w:eastAsia="zh-CN"/>
              </w:rPr>
              <w:t>2</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20</w:t>
            </w:r>
          </w:p>
        </w:tc>
        <w:tc>
          <w:tcPr>
            <w:tcW w:w="82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180</w:t>
            </w:r>
          </w:p>
        </w:tc>
        <w:tc>
          <w:tcPr>
            <w:tcW w:w="5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16</w:t>
            </w:r>
          </w:p>
        </w:tc>
        <w:tc>
          <w:tcPr>
            <w:tcW w:w="5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10</w:t>
            </w:r>
          </w:p>
        </w:tc>
        <w:tc>
          <w:tcPr>
            <w:tcW w:w="5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US" w:eastAsia="zh-CN" w:bidi="ar"/>
              </w:rPr>
            </w:pPr>
            <w:r>
              <w:rPr>
                <w:rFonts w:hint="eastAsia" w:ascii="仿宋_GB2312" w:hAnsi="仿宋_GB2312" w:eastAsia="仿宋_GB2312" w:cs="仿宋_GB2312"/>
                <w:color w:val="auto"/>
                <w:kern w:val="0"/>
                <w:sz w:val="22"/>
                <w:szCs w:val="22"/>
                <w:highlight w:val="none"/>
                <w:lang w:val="en-US" w:eastAsia="zh-CN" w:bidi="ar"/>
              </w:rPr>
              <w:t>72</w:t>
            </w:r>
          </w:p>
        </w:tc>
        <w:tc>
          <w:tcPr>
            <w:tcW w:w="566"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 w:bidi="ar"/>
              </w:rPr>
            </w:pPr>
            <w:r>
              <w:rPr>
                <w:rFonts w:hint="default" w:ascii="仿宋_GB2312" w:hAnsi="仿宋_GB2312" w:eastAsia="仿宋_GB2312" w:cs="仿宋_GB2312"/>
                <w:color w:val="auto"/>
                <w:kern w:val="0"/>
                <w:sz w:val="22"/>
                <w:szCs w:val="22"/>
                <w:highlight w:val="none"/>
                <w:lang w:val="en" w:bidi="ar"/>
              </w:rPr>
              <w:t>5</w:t>
            </w:r>
          </w:p>
        </w:tc>
        <w:tc>
          <w:tcPr>
            <w:tcW w:w="899" w:type="dxa"/>
            <w:tcBorders>
              <w:top w:val="single" w:color="000000" w:sz="4" w:space="0"/>
              <w:left w:val="single" w:color="000000" w:sz="4" w:space="0"/>
              <w:bottom w:val="single" w:color="000000" w:sz="4" w:space="0"/>
              <w:right w:val="single" w:color="000000" w:sz="4" w:space="0"/>
            </w:tcBorders>
            <w:noWrap w:val="0"/>
            <w:vAlign w:val="top"/>
          </w:tcPr>
          <w:p>
            <w:pPr>
              <w:widowControl/>
              <w:spacing w:line="340" w:lineRule="exact"/>
              <w:jc w:val="center"/>
              <w:textAlignment w:val="center"/>
              <w:rPr>
                <w:rFonts w:hint="default" w:ascii="仿宋_GB2312" w:hAnsi="仿宋_GB2312" w:eastAsia="仿宋_GB2312" w:cs="仿宋_GB2312"/>
                <w:color w:val="auto"/>
                <w:kern w:val="0"/>
                <w:sz w:val="22"/>
                <w:szCs w:val="22"/>
                <w:highlight w:val="none"/>
                <w:lang w:val="en" w:bidi="ar"/>
              </w:rPr>
            </w:pPr>
            <w:r>
              <w:rPr>
                <w:rFonts w:ascii="仿宋_GB2312" w:hAnsi="仿宋_GB2312" w:eastAsia="仿宋_GB2312" w:cs="仿宋_GB2312"/>
                <w:color w:val="auto"/>
                <w:kern w:val="0"/>
                <w:sz w:val="22"/>
                <w:szCs w:val="22"/>
                <w:highlight w:val="none"/>
                <w:lang w:bidi="ar"/>
              </w:rPr>
              <w:t>49</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eastAsia" w:ascii="仿宋_GB2312" w:hAnsi="仿宋_GB2312" w:eastAsia="仿宋_GB2312" w:cs="仿宋_GB2312"/>
                <w:color w:val="auto"/>
                <w:kern w:val="0"/>
                <w:sz w:val="22"/>
                <w:szCs w:val="22"/>
                <w:highlight w:val="none"/>
                <w:lang w:eastAsia="zh-CN" w:bidi="ar"/>
              </w:rPr>
            </w:pPr>
            <w:r>
              <w:rPr>
                <w:rFonts w:hint="eastAsia" w:ascii="仿宋_GB2312" w:hAnsi="仿宋_GB2312" w:eastAsia="仿宋_GB2312" w:cs="仿宋_GB2312"/>
                <w:color w:val="auto"/>
                <w:kern w:val="0"/>
                <w:sz w:val="22"/>
                <w:szCs w:val="22"/>
                <w:highlight w:val="none"/>
                <w:lang w:bidi="ar"/>
              </w:rPr>
              <w:t>15</w:t>
            </w:r>
            <w:r>
              <w:rPr>
                <w:rFonts w:hint="eastAsia" w:ascii="仿宋_GB2312" w:hAnsi="仿宋_GB2312" w:eastAsia="仿宋_GB2312" w:cs="仿宋_GB2312"/>
                <w:color w:val="auto"/>
                <w:kern w:val="0"/>
                <w:sz w:val="22"/>
                <w:szCs w:val="22"/>
                <w:highlight w:val="none"/>
                <w:lang w:val="en-US" w:eastAsia="zh-CN" w:bidi="ar"/>
              </w:rPr>
              <w:t>2</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1</w:t>
            </w:r>
            <w:r>
              <w:rPr>
                <w:rFonts w:hint="default" w:ascii="仿宋_GB2312" w:hAnsi="仿宋_GB2312" w:eastAsia="仿宋_GB2312" w:cs="仿宋_GB2312"/>
                <w:sz w:val="24"/>
                <w:szCs w:val="24"/>
                <w:highlight w:val="none"/>
                <w:lang w:val="en" w:eastAsia="zh-CN"/>
              </w:rPr>
              <w:t>7</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13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92</w:t>
            </w:r>
          </w:p>
        </w:tc>
        <w:tc>
          <w:tcPr>
            <w:tcW w:w="64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6</w:t>
            </w:r>
          </w:p>
        </w:tc>
        <w:tc>
          <w:tcPr>
            <w:tcW w:w="67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default" w:ascii="仿宋_GB2312" w:hAnsi="仿宋_GB2312" w:eastAsia="仿宋_GB2312" w:cs="仿宋_GB2312"/>
                <w:sz w:val="24"/>
                <w:szCs w:val="24"/>
                <w:highlight w:val="none"/>
                <w:lang w:val="en" w:eastAsia="zh-CN"/>
              </w:rPr>
              <w:t>98</w:t>
            </w:r>
          </w:p>
        </w:tc>
        <w:tc>
          <w:tcPr>
            <w:tcW w:w="61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22</w:t>
            </w:r>
          </w:p>
        </w:tc>
        <w:tc>
          <w:tcPr>
            <w:tcW w:w="73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40" w:lineRule="exact"/>
              <w:jc w:val="center"/>
              <w:textAlignment w:val="center"/>
              <w:rPr>
                <w:rFonts w:hint="default" w:ascii="仿宋_GB2312" w:hAnsi="仿宋_GB2312" w:eastAsia="仿宋_GB2312" w:cs="仿宋_GB2312"/>
                <w:sz w:val="24"/>
                <w:szCs w:val="24"/>
                <w:highlight w:val="none"/>
                <w:lang w:val="en"/>
              </w:rPr>
            </w:pPr>
            <w:r>
              <w:rPr>
                <w:rFonts w:hint="eastAsia" w:ascii="仿宋_GB2312" w:hAnsi="仿宋_GB2312" w:eastAsia="仿宋_GB2312" w:cs="仿宋_GB2312"/>
                <w:sz w:val="24"/>
                <w:szCs w:val="24"/>
                <w:highlight w:val="none"/>
                <w:lang w:val="en-US" w:eastAsia="zh-CN"/>
              </w:rPr>
              <w:t>2</w:t>
            </w:r>
            <w:r>
              <w:rPr>
                <w:rFonts w:hint="default" w:ascii="仿宋_GB2312" w:hAnsi="仿宋_GB2312" w:eastAsia="仿宋_GB2312" w:cs="仿宋_GB2312"/>
                <w:sz w:val="24"/>
                <w:szCs w:val="24"/>
                <w:highlight w:val="none"/>
                <w:lang w:val="en" w:eastAsia="zh-CN"/>
              </w:rPr>
              <w:t>48</w:t>
            </w:r>
          </w:p>
        </w:tc>
      </w:tr>
    </w:tbl>
    <w:p>
      <w:pPr>
        <w:keepNext w:val="0"/>
        <w:keepLines w:val="0"/>
        <w:pageBreakBefore w:val="0"/>
        <w:widowControl w:val="0"/>
        <w:kinsoku/>
        <w:wordWrap/>
        <w:overflowPunct/>
        <w:topLinePunct w:val="0"/>
        <w:autoSpaceDE/>
        <w:autoSpaceDN/>
        <w:bidi w:val="0"/>
        <w:adjustRightInd/>
        <w:snapToGrid w:val="0"/>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备注：</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1.品种纯度田间种植鉴定冬春季抽检的水稻样品送肇庆市</w:t>
      </w:r>
      <w:r>
        <w:rPr>
          <w:rFonts w:hint="eastAsia" w:ascii="仿宋_GB2312" w:hAnsi="仿宋_GB2312" w:eastAsia="仿宋_GB2312" w:cs="仿宋_GB2312"/>
          <w:sz w:val="24"/>
          <w:szCs w:val="24"/>
          <w:highlight w:val="none"/>
          <w:lang w:val="en-US" w:eastAsia="zh-CN"/>
        </w:rPr>
        <w:t>种子管理站</w:t>
      </w:r>
      <w:r>
        <w:rPr>
          <w:rFonts w:hint="eastAsia" w:ascii="仿宋_GB2312" w:hAnsi="仿宋_GB2312" w:eastAsia="仿宋_GB2312" w:cs="仿宋_GB2312"/>
          <w:sz w:val="24"/>
          <w:szCs w:val="24"/>
          <w:highlight w:val="none"/>
        </w:rPr>
        <w:t>，其它均送检广州市农业</w:t>
      </w:r>
      <w:r>
        <w:rPr>
          <w:rFonts w:hint="eastAsia" w:ascii="仿宋_GB2312" w:hAnsi="仿宋_GB2312" w:eastAsia="仿宋_GB2312" w:cs="仿宋_GB2312"/>
          <w:sz w:val="24"/>
          <w:szCs w:val="24"/>
          <w:highlight w:val="none"/>
          <w:lang w:val="en-US" w:eastAsia="zh-CN"/>
        </w:rPr>
        <w:t>农村</w:t>
      </w:r>
      <w:r>
        <w:rPr>
          <w:rFonts w:hint="eastAsia" w:ascii="仿宋_GB2312" w:hAnsi="仿宋_GB2312" w:eastAsia="仿宋_GB2312" w:cs="仿宋_GB2312"/>
          <w:sz w:val="24"/>
          <w:szCs w:val="24"/>
          <w:highlight w:val="none"/>
        </w:rPr>
        <w:t>科学院</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2.清单内数量仅为</w:t>
      </w:r>
      <w:r>
        <w:rPr>
          <w:rFonts w:hint="eastAsia" w:ascii="仿宋_GB2312" w:hAnsi="仿宋_GB2312" w:eastAsia="仿宋_GB2312" w:cs="仿宋_GB2312"/>
          <w:sz w:val="24"/>
          <w:szCs w:val="24"/>
          <w:highlight w:val="none"/>
          <w:lang w:eastAsia="zh-CN"/>
        </w:rPr>
        <w:t>省统一监测</w:t>
      </w:r>
      <w:r>
        <w:rPr>
          <w:rFonts w:hint="eastAsia" w:ascii="仿宋_GB2312" w:hAnsi="仿宋_GB2312" w:eastAsia="仿宋_GB2312" w:cs="仿宋_GB2312"/>
          <w:sz w:val="24"/>
          <w:szCs w:val="24"/>
          <w:highlight w:val="none"/>
        </w:rPr>
        <w:t>数量，可计入市、县工作任务内</w:t>
      </w:r>
      <w:r>
        <w:rPr>
          <w:rFonts w:hint="eastAsia" w:ascii="仿宋_GB2312" w:hAnsi="仿宋_GB2312" w:eastAsia="仿宋_GB2312" w:cs="仿宋_GB2312"/>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ind w:firstLine="480" w:firstLineChars="200"/>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3.</w:t>
      </w:r>
      <w:r>
        <w:rPr>
          <w:rFonts w:hint="eastAsia" w:ascii="仿宋_GB2312" w:hAnsi="仿宋_GB2312" w:eastAsia="仿宋_GB2312" w:cs="仿宋_GB2312"/>
          <w:sz w:val="24"/>
          <w:szCs w:val="24"/>
          <w:highlight w:val="none"/>
          <w:lang w:eastAsia="zh-CN"/>
        </w:rPr>
        <w:t>清单</w:t>
      </w:r>
      <w:r>
        <w:rPr>
          <w:rFonts w:hint="eastAsia" w:ascii="仿宋_GB2312" w:hAnsi="仿宋_GB2312" w:eastAsia="仿宋_GB2312" w:cs="仿宋_GB2312"/>
          <w:sz w:val="24"/>
          <w:szCs w:val="24"/>
          <w:highlight w:val="none"/>
        </w:rPr>
        <w:t>内</w:t>
      </w:r>
      <w:r>
        <w:rPr>
          <w:rFonts w:hint="eastAsia" w:ascii="仿宋_GB2312" w:hAnsi="仿宋_GB2312" w:eastAsia="仿宋_GB2312" w:cs="仿宋_GB2312"/>
          <w:sz w:val="24"/>
          <w:szCs w:val="24"/>
          <w:highlight w:val="none"/>
          <w:lang w:eastAsia="zh-CN"/>
        </w:rPr>
        <w:t>样品</w:t>
      </w:r>
      <w:r>
        <w:rPr>
          <w:rFonts w:hint="eastAsia" w:ascii="仿宋_GB2312" w:hAnsi="仿宋_GB2312" w:eastAsia="仿宋_GB2312" w:cs="仿宋_GB2312"/>
          <w:sz w:val="24"/>
          <w:szCs w:val="24"/>
          <w:highlight w:val="none"/>
        </w:rPr>
        <w:t>检测所需经费由</w:t>
      </w:r>
      <w:r>
        <w:rPr>
          <w:rFonts w:hint="eastAsia" w:ascii="仿宋_GB2312" w:hAnsi="仿宋_GB2312" w:eastAsia="仿宋_GB2312" w:cs="仿宋_GB2312"/>
          <w:sz w:val="24"/>
          <w:szCs w:val="24"/>
          <w:highlight w:val="none"/>
          <w:lang w:eastAsia="zh-CN"/>
        </w:rPr>
        <w:t>我厅统筹安排</w:t>
      </w:r>
      <w:r>
        <w:rPr>
          <w:rFonts w:hint="eastAsia" w:ascii="仿宋_GB2312" w:hAnsi="仿宋_GB2312" w:eastAsia="仿宋_GB2312" w:cs="仿宋_GB2312"/>
          <w:sz w:val="24"/>
          <w:szCs w:val="24"/>
          <w:highlight w:val="none"/>
        </w:rPr>
        <w:t>，超出</w:t>
      </w:r>
      <w:r>
        <w:rPr>
          <w:rFonts w:hint="eastAsia" w:ascii="仿宋_GB2312" w:hAnsi="仿宋_GB2312" w:eastAsia="仿宋_GB2312" w:cs="仿宋_GB2312"/>
          <w:sz w:val="24"/>
          <w:szCs w:val="24"/>
          <w:highlight w:val="none"/>
          <w:lang w:eastAsia="zh-CN"/>
        </w:rPr>
        <w:t>清单</w:t>
      </w:r>
      <w:r>
        <w:rPr>
          <w:rFonts w:hint="eastAsia" w:ascii="仿宋_GB2312" w:hAnsi="仿宋_GB2312" w:eastAsia="仿宋_GB2312" w:cs="仿宋_GB2312"/>
          <w:sz w:val="24"/>
          <w:szCs w:val="24"/>
          <w:highlight w:val="none"/>
        </w:rPr>
        <w:t>数量之外所需检测经费由地级以上市安排支付</w:t>
      </w:r>
      <w:r>
        <w:rPr>
          <w:rFonts w:hint="eastAsia" w:ascii="仿宋_GB2312" w:hAnsi="仿宋_GB2312" w:eastAsia="仿宋_GB2312" w:cs="仿宋_GB2312"/>
          <w:sz w:val="24"/>
          <w:szCs w:val="24"/>
          <w:highlight w:val="none"/>
          <w:lang w:eastAsia="zh-CN"/>
        </w:rPr>
        <w:t>；</w:t>
      </w:r>
    </w:p>
    <w:p>
      <w:pPr>
        <w:adjustRightInd w:val="0"/>
        <w:snapToGrid w:val="0"/>
        <w:ind w:firstLine="480" w:firstLineChars="200"/>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4.检测样品送达工作由</w:t>
      </w:r>
      <w:r>
        <w:rPr>
          <w:rFonts w:hint="eastAsia" w:ascii="仿宋_GB2312" w:hAnsi="仿宋_GB2312" w:eastAsia="仿宋_GB2312" w:cs="仿宋_GB2312"/>
          <w:sz w:val="24"/>
          <w:szCs w:val="24"/>
          <w:highlight w:val="none"/>
          <w:lang w:eastAsia="zh-CN"/>
        </w:rPr>
        <w:t>各</w:t>
      </w:r>
      <w:r>
        <w:rPr>
          <w:rFonts w:hint="eastAsia" w:ascii="仿宋_GB2312" w:hAnsi="仿宋_GB2312" w:eastAsia="仿宋_GB2312" w:cs="仿宋_GB2312"/>
          <w:sz w:val="24"/>
          <w:szCs w:val="24"/>
          <w:highlight w:val="none"/>
        </w:rPr>
        <w:t>地级以上市农业农村</w:t>
      </w:r>
      <w:r>
        <w:rPr>
          <w:rFonts w:hint="eastAsia" w:ascii="仿宋_GB2312" w:hAnsi="仿宋_GB2312" w:eastAsia="仿宋_GB2312" w:cs="仿宋_GB2312"/>
          <w:sz w:val="24"/>
          <w:szCs w:val="24"/>
          <w:highlight w:val="none"/>
          <w:lang w:eastAsia="zh-CN"/>
        </w:rPr>
        <w:t>部门</w:t>
      </w:r>
      <w:r>
        <w:rPr>
          <w:rFonts w:hint="eastAsia" w:ascii="仿宋_GB2312" w:hAnsi="仿宋_GB2312" w:eastAsia="仿宋_GB2312" w:cs="仿宋_GB2312"/>
          <w:sz w:val="24"/>
          <w:szCs w:val="24"/>
          <w:highlight w:val="none"/>
        </w:rPr>
        <w:t>负责，检测结果</w:t>
      </w:r>
      <w:r>
        <w:rPr>
          <w:rFonts w:hint="eastAsia" w:ascii="仿宋_GB2312" w:hAnsi="仿宋_GB2312" w:eastAsia="仿宋_GB2312" w:cs="仿宋_GB2312"/>
          <w:sz w:val="24"/>
          <w:szCs w:val="24"/>
          <w:highlight w:val="none"/>
          <w:lang w:eastAsia="zh-CN"/>
        </w:rPr>
        <w:t>由</w:t>
      </w:r>
      <w:r>
        <w:rPr>
          <w:rFonts w:hint="eastAsia" w:ascii="仿宋_GB2312" w:hAnsi="仿宋_GB2312" w:eastAsia="仿宋_GB2312" w:cs="仿宋_GB2312"/>
          <w:sz w:val="24"/>
          <w:szCs w:val="24"/>
          <w:highlight w:val="none"/>
        </w:rPr>
        <w:t>有关种子检验机构</w:t>
      </w:r>
      <w:r>
        <w:rPr>
          <w:rFonts w:hint="eastAsia" w:ascii="仿宋_GB2312" w:hAnsi="仿宋_GB2312" w:eastAsia="仿宋_GB2312" w:cs="仿宋_GB2312"/>
          <w:sz w:val="24"/>
          <w:szCs w:val="24"/>
          <w:highlight w:val="none"/>
          <w:lang w:eastAsia="zh-CN"/>
        </w:rPr>
        <w:t>直接反馈相关地级以上市农业农村</w:t>
      </w:r>
    </w:p>
    <w:p>
      <w:pPr>
        <w:adjustRightInd w:val="0"/>
        <w:snapToGrid w:val="0"/>
        <w:ind w:firstLine="720" w:firstLineChars="300"/>
        <w:rPr>
          <w:rFonts w:hint="eastAsia"/>
          <w:highlight w:val="none"/>
        </w:rPr>
      </w:pPr>
      <w:r>
        <w:rPr>
          <w:rFonts w:hint="eastAsia" w:ascii="仿宋_GB2312" w:hAnsi="仿宋_GB2312" w:eastAsia="仿宋_GB2312" w:cs="仿宋_GB2312"/>
          <w:sz w:val="24"/>
          <w:szCs w:val="24"/>
          <w:highlight w:val="none"/>
          <w:lang w:eastAsia="zh-CN"/>
        </w:rPr>
        <w:t>局，并报我厅种业管理处备案。</w:t>
      </w:r>
    </w:p>
    <w:p>
      <w:pPr>
        <w:rPr>
          <w:rFonts w:hint="eastAsia"/>
          <w:highlight w:val="none"/>
        </w:rPr>
        <w:sectPr>
          <w:pgSz w:w="16838" w:h="11906" w:orient="landscape"/>
          <w:pgMar w:top="1531" w:right="1871" w:bottom="1531" w:left="1871" w:header="851" w:footer="992" w:gutter="0"/>
          <w:cols w:space="720" w:num="1"/>
          <w:rtlGutter w:val="0"/>
          <w:docGrid w:type="lines" w:linePitch="595" w:charSpace="0"/>
        </w:sectPr>
      </w:pPr>
    </w:p>
    <w:p>
      <w:pPr>
        <w:adjustRightInd w:val="0"/>
        <w:snapToGrid w:val="0"/>
        <w:spacing w:line="520" w:lineRule="exact"/>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附件4</w:t>
      </w:r>
    </w:p>
    <w:p>
      <w:pPr>
        <w:pStyle w:val="4"/>
        <w:adjustRightInd w:val="0"/>
        <w:snapToGrid w:val="0"/>
        <w:spacing w:after="0" w:line="520" w:lineRule="exact"/>
        <w:ind w:left="0" w:leftChars="0" w:firstLine="0" w:firstLineChars="0"/>
        <w:rPr>
          <w:rFonts w:hint="eastAsia" w:ascii="仿宋_GB2312" w:hAnsi="仿宋_GB2312" w:eastAsia="仿宋_GB2312" w:cs="仿宋_GB2312"/>
          <w:snapToGrid w:val="0"/>
          <w:kern w:val="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202</w:t>
      </w:r>
      <w:r>
        <w:rPr>
          <w:rFonts w:hint="eastAsia" w:ascii="方正小标宋简体" w:hAnsi="方正小标宋简体" w:eastAsia="方正小标宋简体" w:cs="方正小标宋简体"/>
          <w:snapToGrid w:val="0"/>
          <w:kern w:val="0"/>
          <w:sz w:val="44"/>
          <w:szCs w:val="44"/>
          <w:highlight w:val="none"/>
          <w:lang w:val="en-US" w:eastAsia="zh-CN"/>
        </w:rPr>
        <w:t>4</w:t>
      </w:r>
      <w:r>
        <w:rPr>
          <w:rFonts w:hint="eastAsia" w:ascii="方正小标宋简体" w:hAnsi="方正小标宋简体" w:eastAsia="方正小标宋简体" w:cs="方正小标宋简体"/>
          <w:snapToGrid w:val="0"/>
          <w:kern w:val="0"/>
          <w:sz w:val="44"/>
          <w:szCs w:val="44"/>
          <w:highlight w:val="none"/>
        </w:rPr>
        <w:t>年广东省农作物种子质量监督抽查工作</w:t>
      </w:r>
    </w:p>
    <w:p>
      <w:pPr>
        <w:keepNext w:val="0"/>
        <w:keepLines w:val="0"/>
        <w:pageBreakBefore w:val="0"/>
        <w:widowControl w:val="0"/>
        <w:kinsoku/>
        <w:wordWrap/>
        <w:overflowPunct/>
        <w:topLinePunct w:val="0"/>
        <w:autoSpaceDE/>
        <w:autoSpaceDN/>
        <w:bidi w:val="0"/>
        <w:adjustRightInd w:val="0"/>
        <w:snapToGrid w:val="0"/>
        <w:spacing w:line="520" w:lineRule="exact"/>
        <w:jc w:val="center"/>
        <w:textAlignment w:val="auto"/>
        <w:rPr>
          <w:rFonts w:hint="eastAsia"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承担省</w:t>
      </w:r>
      <w:r>
        <w:rPr>
          <w:rFonts w:hint="eastAsia" w:ascii="方正小标宋简体" w:hAnsi="方正小标宋简体" w:eastAsia="方正小标宋简体" w:cs="方正小标宋简体"/>
          <w:snapToGrid w:val="0"/>
          <w:kern w:val="0"/>
          <w:sz w:val="44"/>
          <w:szCs w:val="44"/>
          <w:highlight w:val="none"/>
          <w:lang w:eastAsia="zh-CN"/>
        </w:rPr>
        <w:t>统一监测</w:t>
      </w:r>
      <w:r>
        <w:rPr>
          <w:rFonts w:hint="eastAsia" w:ascii="方正小标宋简体" w:hAnsi="方正小标宋简体" w:eastAsia="方正小标宋简体" w:cs="方正小标宋简体"/>
          <w:snapToGrid w:val="0"/>
          <w:kern w:val="0"/>
          <w:sz w:val="44"/>
          <w:szCs w:val="44"/>
          <w:highlight w:val="none"/>
        </w:rPr>
        <w:t>任务检测机构名单</w:t>
      </w:r>
    </w:p>
    <w:p>
      <w:pPr>
        <w:adjustRightInd w:val="0"/>
        <w:snapToGrid w:val="0"/>
        <w:spacing w:line="520" w:lineRule="exact"/>
        <w:rPr>
          <w:rFonts w:hint="eastAsia" w:ascii="仿宋_GB2312" w:hAnsi="仿宋_GB2312" w:eastAsia="仿宋_GB2312" w:cs="仿宋_GB2312"/>
          <w:snapToGrid w:val="0"/>
          <w:kern w:val="0"/>
          <w:szCs w:val="32"/>
          <w:highlight w:val="none"/>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一、农业农村部农作物种子质量检验测试中心（深圳）（真实性样品）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联系人：陈慧芳</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lang w:eastAsia="zh-CN"/>
        </w:rPr>
      </w:pPr>
      <w:r>
        <w:rPr>
          <w:rFonts w:hint="eastAsia" w:ascii="仿宋_GB2312" w:hAnsi="仿宋_GB2312" w:eastAsia="仿宋_GB2312" w:cs="仿宋_GB2312"/>
          <w:snapToGrid w:val="0"/>
          <w:kern w:val="0"/>
          <w:sz w:val="32"/>
          <w:szCs w:val="32"/>
          <w:highlight w:val="none"/>
        </w:rPr>
        <w:t>电话：15012660361，0755-83427381</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spacing w:val="-11"/>
          <w:kern w:val="0"/>
          <w:sz w:val="32"/>
          <w:szCs w:val="32"/>
          <w:highlight w:val="none"/>
        </w:rPr>
      </w:pPr>
      <w:r>
        <w:rPr>
          <w:rFonts w:hint="eastAsia" w:ascii="仿宋_GB2312" w:hAnsi="仿宋_GB2312" w:eastAsia="仿宋_GB2312" w:cs="仿宋_GB2312"/>
          <w:snapToGrid w:val="0"/>
          <w:kern w:val="0"/>
          <w:sz w:val="32"/>
          <w:szCs w:val="32"/>
          <w:highlight w:val="none"/>
        </w:rPr>
        <w:t>地址：</w:t>
      </w:r>
      <w:r>
        <w:rPr>
          <w:rFonts w:hint="eastAsia" w:ascii="仿宋_GB2312" w:hAnsi="仿宋_GB2312" w:eastAsia="仿宋_GB2312" w:cs="仿宋_GB2312"/>
          <w:snapToGrid w:val="0"/>
          <w:spacing w:val="-11"/>
          <w:kern w:val="0"/>
          <w:sz w:val="32"/>
          <w:szCs w:val="32"/>
          <w:highlight w:val="none"/>
        </w:rPr>
        <w:t>深圳市南山区沙河西路3157号南山智谷产业园E栋1709</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邮编：518055</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二、农业农村部植物及植物用微生物生态环境安全监督检验测试中心（广州）（转基因样品）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联系人：姚涓</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电话：18929505668</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地址：广州天河区五山路华南农业大学科技楼11楼</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三、肇庆市</w:t>
      </w:r>
      <w:r>
        <w:rPr>
          <w:rFonts w:hint="eastAsia" w:ascii="黑体" w:hAnsi="黑体" w:eastAsia="黑体" w:cs="黑体"/>
          <w:snapToGrid w:val="0"/>
          <w:kern w:val="0"/>
          <w:sz w:val="32"/>
          <w:szCs w:val="32"/>
          <w:highlight w:val="none"/>
          <w:lang w:val="en-US" w:eastAsia="zh-CN"/>
        </w:rPr>
        <w:t>种子管理站</w:t>
      </w:r>
      <w:r>
        <w:rPr>
          <w:rFonts w:hint="eastAsia" w:ascii="黑体" w:hAnsi="黑体" w:eastAsia="黑体" w:cs="黑体"/>
          <w:snapToGrid w:val="0"/>
          <w:kern w:val="0"/>
          <w:sz w:val="32"/>
          <w:szCs w:val="32"/>
          <w:highlight w:val="none"/>
        </w:rPr>
        <w:t>（水稻纯度样品）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联系人：张家来</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电话：13527068967</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地址：肇庆市端州区跃龙路109号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黑体" w:hAnsi="黑体" w:eastAsia="黑体" w:cs="黑体"/>
          <w:snapToGrid w:val="0"/>
          <w:kern w:val="0"/>
          <w:sz w:val="32"/>
          <w:szCs w:val="32"/>
          <w:highlight w:val="none"/>
        </w:rPr>
      </w:pPr>
      <w:r>
        <w:rPr>
          <w:rFonts w:hint="eastAsia" w:ascii="黑体" w:hAnsi="黑体" w:eastAsia="黑体" w:cs="黑体"/>
          <w:snapToGrid w:val="0"/>
          <w:kern w:val="0"/>
          <w:sz w:val="32"/>
          <w:szCs w:val="32"/>
          <w:highlight w:val="none"/>
        </w:rPr>
        <w:t>四、广州市农业</w:t>
      </w:r>
      <w:r>
        <w:rPr>
          <w:rFonts w:hint="eastAsia" w:ascii="黑体" w:hAnsi="黑体" w:eastAsia="黑体" w:cs="黑体"/>
          <w:snapToGrid w:val="0"/>
          <w:kern w:val="0"/>
          <w:sz w:val="32"/>
          <w:szCs w:val="32"/>
          <w:highlight w:val="none"/>
          <w:lang w:val="en-US" w:eastAsia="zh-CN"/>
        </w:rPr>
        <w:t>农村</w:t>
      </w:r>
      <w:r>
        <w:rPr>
          <w:rFonts w:hint="eastAsia" w:ascii="黑体" w:hAnsi="黑体" w:eastAsia="黑体" w:cs="黑体"/>
          <w:snapToGrid w:val="0"/>
          <w:kern w:val="0"/>
          <w:sz w:val="32"/>
          <w:szCs w:val="32"/>
          <w:highlight w:val="none"/>
        </w:rPr>
        <w:t>科学院（玉米、水稻纯度样品）</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联系人：田耀加</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电话：15915845155</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地址：广州市海珠区琶洲安置区琶洲大道17-19号广州市农科院217玉米所</w:t>
      </w:r>
    </w:p>
    <w:p>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eastAsia" w:ascii="仿宋_GB2312" w:hAnsi="仿宋_GB2312" w:eastAsia="仿宋_GB2312" w:cs="仿宋_GB2312"/>
          <w:snapToGrid w:val="0"/>
          <w:kern w:val="0"/>
          <w:sz w:val="32"/>
          <w:szCs w:val="32"/>
          <w:highlight w:val="none"/>
        </w:rPr>
        <w:sectPr>
          <w:pgSz w:w="11906" w:h="16838"/>
          <w:pgMar w:top="1871" w:right="1531" w:bottom="1871" w:left="1531" w:header="851" w:footer="992" w:gutter="0"/>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××市2024年种业监管任务完成情况表</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填表单位：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w:t>
      </w:r>
      <w:r>
        <w:rPr>
          <w:rFonts w:hint="eastAsia" w:ascii="仿宋_GB2312" w:hAnsi="仿宋_GB2312" w:eastAsia="仿宋_GB2312" w:cs="仿宋_GB2312"/>
          <w:sz w:val="24"/>
          <w:szCs w:val="24"/>
          <w:highlight w:val="none"/>
          <w:lang w:val="en-US" w:eastAsia="zh-CN"/>
        </w:rPr>
        <w:t xml:space="preserve">      </w:t>
      </w:r>
      <w:r>
        <w:rPr>
          <w:rFonts w:hint="eastAsia" w:ascii="仿宋_GB2312" w:hAnsi="仿宋_GB2312" w:eastAsia="仿宋_GB2312" w:cs="仿宋_GB2312"/>
          <w:sz w:val="24"/>
          <w:szCs w:val="24"/>
          <w:highlight w:val="none"/>
        </w:rPr>
        <w:t xml:space="preserve">              填表日期：    年    月    日</w:t>
      </w: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46"/>
        <w:gridCol w:w="729"/>
        <w:gridCol w:w="1130"/>
        <w:gridCol w:w="1130"/>
        <w:gridCol w:w="729"/>
        <w:gridCol w:w="730"/>
        <w:gridCol w:w="1131"/>
        <w:gridCol w:w="1131"/>
        <w:gridCol w:w="1131"/>
        <w:gridCol w:w="1131"/>
        <w:gridCol w:w="1131"/>
        <w:gridCol w:w="1131"/>
        <w:gridCol w:w="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内容</w:t>
            </w:r>
          </w:p>
        </w:tc>
        <w:tc>
          <w:tcPr>
            <w:tcW w:w="372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地市级</w:t>
            </w:r>
          </w:p>
        </w:tc>
        <w:tc>
          <w:tcPr>
            <w:tcW w:w="824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县级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jc w:val="center"/>
        </w:trPr>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黑体" w:hAnsi="黑体" w:eastAsia="黑体" w:cs="黑体"/>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对地市级发证企业现场检查覆盖率</w:t>
            </w: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被检查企业问题整改率</w:t>
            </w: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国家级制种大县和良繁基地检查覆盖率</w:t>
            </w:r>
          </w:p>
        </w:tc>
        <w:tc>
          <w:tcPr>
            <w:tcW w:w="73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种畜禽生产经营许可证备案率</w:t>
            </w:r>
          </w:p>
        </w:tc>
        <w:tc>
          <w:tcPr>
            <w:tcW w:w="73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县级发证种子企业检查覆盖率</w:t>
            </w:r>
          </w:p>
        </w:tc>
        <w:tc>
          <w:tcPr>
            <w:tcW w:w="1131"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种子门店抽查覆盖率</w:t>
            </w:r>
          </w:p>
        </w:tc>
        <w:tc>
          <w:tcPr>
            <w:tcW w:w="1131"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门店备案品种抽样覆盖率</w:t>
            </w: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企业及门店检查问题整改率</w:t>
            </w: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辖区内生产经营主体备案率</w:t>
            </w: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生产经营主体经营品种备案率</w:t>
            </w: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种畜禽生产经营许可证备案率</w:t>
            </w:r>
          </w:p>
        </w:tc>
        <w:tc>
          <w:tcPr>
            <w:tcW w:w="72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达到移送条件的案件向公安移送率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9" w:hRule="atLeast"/>
          <w:jc w:val="center"/>
        </w:trPr>
        <w:tc>
          <w:tcPr>
            <w:tcW w:w="1347"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kern w:val="0"/>
                <w:sz w:val="24"/>
                <w:szCs w:val="24"/>
                <w:highlight w:val="none"/>
                <w:u w:val="none"/>
                <w:lang w:val="en-US" w:eastAsia="zh-CN"/>
              </w:rPr>
            </w:pPr>
            <w:r>
              <w:rPr>
                <w:rFonts w:hint="eastAsia" w:ascii="仿宋_GB2312" w:hAnsi="仿宋_GB2312" w:eastAsia="仿宋_GB2312" w:cs="仿宋_GB2312"/>
                <w:i w:val="0"/>
                <w:iCs w:val="0"/>
                <w:color w:val="000000"/>
                <w:kern w:val="0"/>
                <w:sz w:val="24"/>
                <w:szCs w:val="24"/>
                <w:highlight w:val="none"/>
                <w:u w:val="none"/>
                <w:lang w:val="en-US" w:eastAsia="zh-CN"/>
              </w:rPr>
              <w:t>完成</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rPr>
              <w:t>情况</w:t>
            </w:r>
          </w:p>
        </w:tc>
        <w:tc>
          <w:tcPr>
            <w:tcW w:w="73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730"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auto"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highlight w:val="none"/>
                <w:u w:val="none"/>
              </w:rPr>
            </w:pPr>
          </w:p>
        </w:tc>
        <w:tc>
          <w:tcPr>
            <w:tcW w:w="1131" w:type="dxa"/>
            <w:tcBorders>
              <w:top w:val="single" w:color="000000" w:sz="4" w:space="0"/>
              <w:left w:val="single" w:color="auto"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kern w:val="0"/>
                <w:sz w:val="24"/>
                <w:szCs w:val="24"/>
                <w:highlight w:val="none"/>
                <w:u w:val="none"/>
                <w:lang w:val="en-US" w:eastAsia="zh-CN"/>
              </w:rPr>
            </w:pP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729"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rPr>
            </w:pPr>
          </w:p>
        </w:tc>
      </w:tr>
    </w:tbl>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注：“完成情况”一栏按照工作完成情况据实填写，应填写具体数值，不可填写“是”或“否”。</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28"/>
          <w:szCs w:val="28"/>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6</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××市2024年种业监管执法情况表</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填表单位：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 xml:space="preserve">          填表日期：    年    月    日</w:t>
      </w:r>
    </w:p>
    <w:tbl>
      <w:tblPr>
        <w:tblStyle w:val="5"/>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
        <w:gridCol w:w="491"/>
        <w:gridCol w:w="1421"/>
        <w:gridCol w:w="947"/>
        <w:gridCol w:w="491"/>
        <w:gridCol w:w="474"/>
        <w:gridCol w:w="947"/>
        <w:gridCol w:w="474"/>
        <w:gridCol w:w="947"/>
        <w:gridCol w:w="715"/>
        <w:gridCol w:w="1421"/>
        <w:gridCol w:w="1421"/>
        <w:gridCol w:w="1421"/>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2"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案件类型</w:t>
            </w:r>
          </w:p>
        </w:tc>
        <w:tc>
          <w:tcPr>
            <w:tcW w:w="6884" w:type="dxa"/>
            <w:gridSpan w:val="9"/>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执法情况</w:t>
            </w:r>
          </w:p>
        </w:tc>
        <w:tc>
          <w:tcPr>
            <w:tcW w:w="5899" w:type="dxa"/>
            <w:gridSpan w:val="4"/>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监管情况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黑体" w:hAnsi="黑体" w:eastAsia="黑体" w:cs="黑体"/>
                <w:i w:val="0"/>
                <w:iCs w:val="0"/>
                <w:color w:val="000000"/>
                <w:sz w:val="24"/>
                <w:szCs w:val="24"/>
                <w:highlight w:val="none"/>
                <w:u w:val="none"/>
              </w:rPr>
            </w:pPr>
          </w:p>
        </w:tc>
        <w:tc>
          <w:tcPr>
            <w:tcW w:w="492"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出动执法人员数</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（人次）</w:t>
            </w:r>
          </w:p>
        </w:tc>
        <w:tc>
          <w:tcPr>
            <w:tcW w:w="1475"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立案数（件）</w:t>
            </w:r>
          </w:p>
        </w:tc>
        <w:tc>
          <w:tcPr>
            <w:tcW w:w="983"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涉案种子数量（公斤）</w:t>
            </w:r>
          </w:p>
        </w:tc>
        <w:tc>
          <w:tcPr>
            <w:tcW w:w="492"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处罚</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金额</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（万元）</w:t>
            </w:r>
          </w:p>
        </w:tc>
        <w:tc>
          <w:tcPr>
            <w:tcW w:w="1475"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办结案件</w:t>
            </w:r>
          </w:p>
        </w:tc>
        <w:tc>
          <w:tcPr>
            <w:tcW w:w="1475" w:type="dxa"/>
            <w:gridSpan w:val="2"/>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移送司法机关</w:t>
            </w:r>
          </w:p>
        </w:tc>
        <w:tc>
          <w:tcPr>
            <w:tcW w:w="492"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lang w:val="en-US" w:eastAsia="zh-CN"/>
              </w:rPr>
            </w:pPr>
            <w:r>
              <w:rPr>
                <w:rFonts w:hint="eastAsia" w:ascii="黑体" w:hAnsi="黑体" w:eastAsia="黑体" w:cs="黑体"/>
                <w:i w:val="0"/>
                <w:iCs w:val="0"/>
                <w:color w:val="000000"/>
                <w:kern w:val="0"/>
                <w:sz w:val="24"/>
                <w:szCs w:val="24"/>
                <w:highlight w:val="none"/>
                <w:u w:val="none"/>
                <w:lang w:val="en-US" w:eastAsia="zh-CN"/>
              </w:rPr>
              <w:t>处罚结果信息公开</w:t>
            </w:r>
          </w:p>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（件）</w:t>
            </w:r>
          </w:p>
        </w:tc>
        <w:tc>
          <w:tcPr>
            <w:tcW w:w="1475"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抽取样品数（个）</w:t>
            </w:r>
          </w:p>
        </w:tc>
        <w:tc>
          <w:tcPr>
            <w:tcW w:w="1475"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检查企业数（个）</w:t>
            </w:r>
          </w:p>
        </w:tc>
        <w:tc>
          <w:tcPr>
            <w:tcW w:w="1475"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检查门店数（个）</w:t>
            </w:r>
          </w:p>
        </w:tc>
        <w:tc>
          <w:tcPr>
            <w:tcW w:w="1474"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检查基地数（个）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2"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492"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983"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92"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件数</w:t>
            </w: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涉案金额（万元）</w:t>
            </w: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件数</w:t>
            </w: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r>
              <w:rPr>
                <w:rFonts w:hint="eastAsia" w:ascii="黑体" w:hAnsi="黑体" w:eastAsia="黑体" w:cs="黑体"/>
                <w:i w:val="0"/>
                <w:iCs w:val="0"/>
                <w:color w:val="000000"/>
                <w:kern w:val="0"/>
                <w:sz w:val="24"/>
                <w:szCs w:val="24"/>
                <w:highlight w:val="none"/>
                <w:u w:val="none"/>
                <w:lang w:val="en-US" w:eastAsia="zh-CN"/>
              </w:rPr>
              <w:t>涉案金额（万元）</w:t>
            </w:r>
          </w:p>
        </w:tc>
        <w:tc>
          <w:tcPr>
            <w:tcW w:w="492"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黑体" w:hAnsi="黑体" w:eastAsia="黑体" w:cs="黑体"/>
                <w:i w:val="0"/>
                <w:iCs w:val="0"/>
                <w:color w:val="000000"/>
                <w:kern w:val="0"/>
                <w:sz w:val="24"/>
                <w:szCs w:val="24"/>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475"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c>
          <w:tcPr>
            <w:tcW w:w="1474"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rPr>
              <w:t>品种权侵权</w:t>
            </w:r>
          </w:p>
        </w:tc>
        <w:tc>
          <w:tcPr>
            <w:tcW w:w="492" w:type="dxa"/>
            <w:vMerge w:val="restart"/>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c>
          <w:tcPr>
            <w:tcW w:w="147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1475" w:type="dxa"/>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c>
          <w:tcPr>
            <w:tcW w:w="1475" w:type="dxa"/>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c>
          <w:tcPr>
            <w:tcW w:w="1475" w:type="dxa"/>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c>
          <w:tcPr>
            <w:tcW w:w="1474" w:type="dxa"/>
            <w:vMerge w:val="restart"/>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rPr>
            </w:pPr>
            <w:r>
              <w:rPr>
                <w:rFonts w:hint="eastAsia" w:ascii="仿宋_GB2312" w:hAnsi="仿宋_GB2312" w:eastAsia="仿宋_GB2312" w:cs="仿宋_GB2312"/>
                <w:i w:val="0"/>
                <w:iCs w:val="0"/>
                <w:color w:val="000000"/>
                <w:kern w:val="0"/>
                <w:sz w:val="24"/>
                <w:szCs w:val="24"/>
                <w:highlight w:val="none"/>
                <w:u w:val="none"/>
                <w:lang w:val="en-US" w:eastAsia="zh-CN"/>
              </w:rPr>
              <w:t>其他</w:t>
            </w:r>
          </w:p>
        </w:tc>
        <w:tc>
          <w:tcPr>
            <w:tcW w:w="492"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147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1475" w:type="dxa"/>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1475" w:type="dxa"/>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1475" w:type="dxa"/>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1474" w:type="dxa"/>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3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rPr>
              <w:t>合计</w:t>
            </w:r>
          </w:p>
        </w:tc>
        <w:tc>
          <w:tcPr>
            <w:tcW w:w="492" w:type="dxa"/>
            <w:vMerge w:val="continue"/>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1475"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983"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492" w:type="dxa"/>
            <w:tcBorders>
              <w:top w:val="single" w:color="000000" w:sz="4" w:space="0"/>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i w:val="0"/>
                <w:iCs w:val="0"/>
                <w:color w:val="000000"/>
                <w:sz w:val="24"/>
                <w:szCs w:val="24"/>
                <w:highlight w:val="none"/>
                <w:u w:val="none"/>
                <w:lang w:val="en-US" w:eastAsia="zh-CN"/>
              </w:rPr>
            </w:pPr>
          </w:p>
        </w:tc>
        <w:tc>
          <w:tcPr>
            <w:tcW w:w="1475" w:type="dxa"/>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1475" w:type="dxa"/>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1475" w:type="dxa"/>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c>
          <w:tcPr>
            <w:tcW w:w="1474" w:type="dxa"/>
            <w:vMerge w:val="continue"/>
            <w:tcBorders>
              <w:top w:val="nil"/>
              <w:left w:val="single" w:color="000000" w:sz="4" w:space="0"/>
              <w:bottom w:val="single" w:color="000000" w:sz="4" w:space="0"/>
              <w:right w:val="single" w:color="000000" w:sz="4"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仿宋_GB2312" w:hAnsi="仿宋_GB2312" w:eastAsia="仿宋_GB2312" w:cs="仿宋_GB2312"/>
                <w:i w:val="0"/>
                <w:iCs w:val="0"/>
                <w:color w:val="000000"/>
                <w:sz w:val="24"/>
                <w:szCs w:val="24"/>
                <w:highlight w:val="none"/>
                <w:u w:val="none"/>
              </w:rPr>
            </w:pPr>
          </w:p>
        </w:tc>
      </w:tr>
    </w:tbl>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注：数据截至填表时，包括市、县两级数据，不重复计算。</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highlight w:val="none"/>
        </w:rPr>
        <w:sectPr>
          <w:pgSz w:w="16838" w:h="11906" w:orient="landscape"/>
          <w:pgMar w:top="1531" w:right="1871" w:bottom="1531" w:left="1871" w:header="851" w:footer="992" w:gutter="0"/>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lang w:eastAsia="zh-CN"/>
        </w:rPr>
        <w:t>附件</w:t>
      </w:r>
      <w:r>
        <w:rPr>
          <w:rFonts w:hint="eastAsia" w:ascii="黑体" w:hAnsi="黑体" w:eastAsia="黑体" w:cs="黑体"/>
          <w:snapToGrid w:val="0"/>
          <w:kern w:val="0"/>
          <w:sz w:val="32"/>
          <w:szCs w:val="32"/>
          <w:highlight w:val="none"/>
          <w:lang w:val="en-US" w:eastAsia="zh-CN"/>
        </w:rPr>
        <w:t>7</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napToGrid w:val="0"/>
          <w:kern w:val="0"/>
          <w:sz w:val="32"/>
          <w:szCs w:val="32"/>
          <w:highlight w:val="none"/>
          <w:lang w:val="en-US" w:eastAsia="zh-CN"/>
        </w:rPr>
      </w:pPr>
    </w:p>
    <w:p>
      <w:pPr>
        <w:pStyle w:val="4"/>
        <w:keepNext w:val="0"/>
        <w:keepLines w:val="0"/>
        <w:pageBreakBefore w:val="0"/>
        <w:widowControl w:val="0"/>
        <w:kinsoku/>
        <w:wordWrap/>
        <w:overflowPunct/>
        <w:topLinePunct w:val="0"/>
        <w:autoSpaceDE/>
        <w:autoSpaceDN/>
        <w:bidi w:val="0"/>
        <w:adjustRightInd w:val="0"/>
        <w:snapToGrid w:val="0"/>
        <w:spacing w:after="0" w:line="590" w:lineRule="exact"/>
        <w:ind w:left="0" w:leftChars="0" w:firstLine="0" w:firstLineChars="0"/>
        <w:jc w:val="center"/>
        <w:textAlignment w:val="auto"/>
        <w:rPr>
          <w:rFonts w:hint="eastAsia" w:ascii="方正小标宋简体" w:hAnsi="方正小标宋简体" w:eastAsia="方正小标宋简体" w:cs="方正小标宋简体"/>
          <w:snapToGrid w:val="0"/>
          <w:kern w:val="0"/>
          <w:sz w:val="44"/>
          <w:szCs w:val="44"/>
          <w:highlight w:val="none"/>
          <w:lang w:val="en-US" w:eastAsia="zh-CN"/>
        </w:rPr>
      </w:pPr>
      <w:r>
        <w:rPr>
          <w:rFonts w:hint="eastAsia" w:ascii="方正小标宋简体" w:hAnsi="方正小标宋简体" w:eastAsia="方正小标宋简体" w:cs="方正小标宋简体"/>
          <w:snapToGrid w:val="0"/>
          <w:kern w:val="0"/>
          <w:sz w:val="44"/>
          <w:szCs w:val="44"/>
          <w:highlight w:val="none"/>
          <w:lang w:val="en-US" w:eastAsia="zh-CN"/>
        </w:rPr>
        <w:t>广东省持证种子企业名录</w:t>
      </w:r>
    </w:p>
    <w:p>
      <w:pPr>
        <w:keepNext w:val="0"/>
        <w:keepLines w:val="0"/>
        <w:pageBreakBefore w:val="0"/>
        <w:widowControl w:val="0"/>
        <w:kinsoku/>
        <w:wordWrap/>
        <w:overflowPunct/>
        <w:topLinePunct w:val="0"/>
        <w:autoSpaceDE/>
        <w:autoSpaceDN/>
        <w:bidi w:val="0"/>
        <w:adjustRightInd w:val="0"/>
        <w:snapToGrid w:val="0"/>
        <w:spacing w:line="590" w:lineRule="exact"/>
        <w:ind w:firstLine="0" w:firstLineChars="0"/>
        <w:textAlignment w:val="auto"/>
        <w:rPr>
          <w:rFonts w:hint="eastAsia" w:ascii="仿宋_GB2312" w:hAnsi="仿宋_GB2312" w:eastAsia="仿宋_GB2312" w:cs="仿宋_GB2312"/>
          <w:snapToGrid w:val="0"/>
          <w:kern w:val="0"/>
          <w:sz w:val="32"/>
          <w:szCs w:val="32"/>
          <w:highlight w:val="none"/>
        </w:rPr>
      </w:pPr>
    </w:p>
    <w:tbl>
      <w:tblPr>
        <w:tblStyle w:val="5"/>
        <w:tblW w:w="0" w:type="auto"/>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859"/>
        <w:gridCol w:w="600"/>
        <w:gridCol w:w="3323"/>
        <w:gridCol w:w="3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92"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地市</w:t>
            </w:r>
          </w:p>
        </w:tc>
        <w:tc>
          <w:tcPr>
            <w:tcW w:w="859"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黑体" w:hAnsi="黑体" w:eastAsia="黑体" w:cs="黑体"/>
                <w:i w:val="0"/>
                <w:color w:val="000000"/>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发证</w:t>
            </w:r>
          </w:p>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序号</w:t>
            </w:r>
          </w:p>
        </w:tc>
        <w:tc>
          <w:tcPr>
            <w:tcW w:w="3323"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企业名称</w:t>
            </w:r>
          </w:p>
        </w:tc>
        <w:tc>
          <w:tcPr>
            <w:tcW w:w="386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黑体" w:hAnsi="黑体" w:eastAsia="黑体" w:cs="黑体"/>
                <w:i w:val="0"/>
                <w:color w:val="000000"/>
                <w:kern w:val="0"/>
                <w:sz w:val="21"/>
                <w:szCs w:val="21"/>
                <w:highlight w:val="none"/>
                <w:u w:val="none"/>
                <w:lang w:val="en-US" w:eastAsia="zh-CN" w:bidi="ar"/>
              </w:rPr>
              <w:t>许可证编号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w:t>
            </w:r>
          </w:p>
        </w:tc>
        <w:tc>
          <w:tcPr>
            <w:tcW w:w="3323"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广东金作农业科技有限公司</w:t>
            </w:r>
          </w:p>
        </w:tc>
        <w:tc>
          <w:tcPr>
            <w:tcW w:w="386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E(农)农种许字(2020)第0213号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w:t>
            </w:r>
          </w:p>
        </w:tc>
        <w:tc>
          <w:tcPr>
            <w:tcW w:w="3323"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广东田联种业有限公司</w:t>
            </w:r>
          </w:p>
        </w:tc>
        <w:tc>
          <w:tcPr>
            <w:tcW w:w="386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E(农)农种许字(2023)第0336号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w:t>
            </w:r>
          </w:p>
        </w:tc>
        <w:tc>
          <w:tcPr>
            <w:tcW w:w="3323"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广东庭硕农业科技有限公司</w:t>
            </w:r>
          </w:p>
        </w:tc>
        <w:tc>
          <w:tcPr>
            <w:tcW w:w="386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E(农)农种许字(2023)第0337号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w:t>
            </w:r>
          </w:p>
        </w:tc>
        <w:tc>
          <w:tcPr>
            <w:tcW w:w="3323"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广东玮贤农业科技有限公司</w:t>
            </w:r>
          </w:p>
        </w:tc>
        <w:tc>
          <w:tcPr>
            <w:tcW w:w="386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E(农)农种许字(2023)第0338号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w:t>
            </w:r>
          </w:p>
        </w:tc>
        <w:tc>
          <w:tcPr>
            <w:tcW w:w="3323"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广东现代金穗种业有限公司</w:t>
            </w:r>
          </w:p>
        </w:tc>
        <w:tc>
          <w:tcPr>
            <w:tcW w:w="386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E(农)农种许字(2017)第0023号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w:t>
            </w:r>
          </w:p>
        </w:tc>
        <w:tc>
          <w:tcPr>
            <w:tcW w:w="3323"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广州克勤种子有限公司</w:t>
            </w:r>
          </w:p>
        </w:tc>
        <w:tc>
          <w:tcPr>
            <w:tcW w:w="386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E(农)农种许字(2022)第0274号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w:t>
            </w:r>
          </w:p>
        </w:tc>
        <w:tc>
          <w:tcPr>
            <w:tcW w:w="3323"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广州市种子进出口有限公司</w:t>
            </w:r>
          </w:p>
        </w:tc>
        <w:tc>
          <w:tcPr>
            <w:tcW w:w="3866"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E(农)农种申字(2022)第0095号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广州乾农农业科技发展有限公司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B、C、D(粤)农种许字(2017)第0006号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广东省金稻种业有限公司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A(粤)农种许字(2020)第0001号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广东省金稻种业有限公司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B、C、D(粤)农种许字(2016)第0009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广东穗方源实业有限公司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B(粤)农种许字(2022)第0004号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广东现代金穗种业有限公司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B、C、D(粤)农种许字(2017)第0009号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中种农业科技（广州）有限公司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B、C(粤)农种许字(2022)第0003号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广州市绿霸种苗有限公司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B、D(粤)农种许字(2018)第0002号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广州中苗科技有限公司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B、D(粤)农种许字(2021)第0001号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广东金作农业科技有限公司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B、D(粤)农种许字(2017)第0005号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广东田联种业有限公司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B、C、D(粤)农种许字(2018)第0004号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广东华农大种业有限公司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B、C、D(粤)农种许字(2016)第0006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广东现代种业发展有限公司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B、C(粤)农种许字(2022)第0001号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广东鹏穗和种业科技有限公司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广州市合丰收农业有限公司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B(粤)农种许字(2023)第0002号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广东中昇种业有限责任公司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D(粤)农种许字(2017)第0004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广东科农蔬菜种业有限公司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广州绿农种业有限公司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广州丰农旺种子有限公司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广州亚明种业科技有限公司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广州市果树科学研究所</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广东茂农种业科技有限公司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广州鸿海种业有限公司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广州市华艺种苗行有限公司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广州农宝种子有限公司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D(粤广白)农种许字(2021)第0006号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广州市金丰农业科技有限公司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D(粤广白)农种许字(2021)第0007号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广州南蔬农业科技有限公司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广州中地农业有限公司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广东庭硕农业科技有限公司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广东玮贤农业科技有限公司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D(粤广白)农种许字(2023)第0003号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广州市荔鼎生态农业开发有限公司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D(粤广从)农种许字(2023)第0001号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广州奇卉园艺有限公司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D(粤广从)农种许字(2023)第0002号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广州市卉通农业科技有限公司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D(粤广番)农种许字(2020)第0001号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广州市番禺区绿色科技发展有限公司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D(粤广番)农种许字(2020)第0002号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广州长合种子有限公司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D(粤广番)农种许字(2021)第0001号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广州合兴种业科技有限公司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D(粤广番)农种许字(2021)第0002号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广州广南农业科技有限公司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D(粤广番)农种许字(2021)第0003号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广州赋美种业科技有限公司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D(粤广番)农种许字(2023)第0001号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广州克勤种子有限公司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CD(粤广海)农种许字(2022)第0001号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广州穗诚种业科技有限公司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D(粤广花)农种许字(2022)第0002号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广州中植农业发展有限公司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Style w:val="7"/>
                <w:rFonts w:hint="eastAsia" w:ascii="仿宋_GB2312" w:hAnsi="仿宋_GB2312" w:eastAsia="仿宋_GB2312" w:cs="仿宋_GB2312"/>
                <w:b w:val="0"/>
                <w:bCs w:val="0"/>
                <w:color w:val="auto"/>
                <w:sz w:val="21"/>
                <w:szCs w:val="21"/>
                <w:highlight w:val="none"/>
                <w:lang w:val="en-US" w:eastAsia="zh-CN" w:bidi="ar"/>
              </w:rPr>
            </w:pPr>
            <w:r>
              <w:rPr>
                <w:rStyle w:val="7"/>
                <w:rFonts w:hint="default" w:ascii="仿宋_GB2312" w:hAnsi="仿宋_GB2312" w:eastAsia="仿宋_GB2312" w:cs="仿宋_GB2312"/>
                <w:b w:val="0"/>
                <w:bCs w:val="0"/>
                <w:color w:val="auto"/>
                <w:sz w:val="21"/>
                <w:szCs w:val="21"/>
                <w:highlight w:val="none"/>
                <w:lang w:val="en-US" w:eastAsia="zh-CN" w:bidi="ar"/>
              </w:rPr>
              <w:t>D(粤广花)农种许字(2022)第0001号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广州上禾农业科技有限公司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D(粤广黄)农种许字(2022)第0001号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49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广州生长地农业科技有限公司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D(粤广黄)农种许字(2023)第0001号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广州扬耘农业科技有限公司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D(粤广黄)农种许字(2019)第0001号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广州花卉研究中心</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D(粤广荔)农种许字(2018)第0001号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广州隆平高科特种玉米有限公司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D(粤广南)农种许字(2019)第0002号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绿亨科技集团股份有限公司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D(粤广南)农种许字(2018)第0001号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广州市富勤农业有限责任公司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D(粤广南)农种许字(2023)第0001号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广州市义农园艺有限公司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广州旺优种业研究开发有限公司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广州新达种业科技有限公司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广州市鸿丰种子科技有限公司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59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为农种苗（广州）蔬菜种子种苗有限责任公司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广州诚立信农业有限公司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广东建鹏南药种养有限公司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广州农鑫农业有限公司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广州良师意农种子科技有限公司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D(粤广天)农种许字(2022)第0008号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广州明鑫农业科技有限公司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广州市维圣种业有限公司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广州博优特农业科技有限公司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D(粤广天)农种许字(2021)第0022号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广东和华种业有限公司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广州世茂农业科技有限公司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CD(粤广天)农种许字(2022)第0001号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69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广州市三优种苗科技有限公司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D(粤广天)农种许字(2023)第0003号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广州市金苗种子有限公司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D(粤广天)农种许字(2022)第0005号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广州惠研园艺种苗有限公司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广州大有种业有限公司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D(粤广天)农种许字(2022)第0006号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广州市赛田种苗科技有限公司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广州佰顺蔬菜研究所有限公司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D(粤广天)农种许字(2022)第0007号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广州辉煌农友种业有限公司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广州亚蔬园艺种苗有限公司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广州佳庆农业科技有限公司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广州市聚宝农业科技有限公司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79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广州金籽农业科技有限公司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广州市圣吉亚农业科技有限公司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广州卓艺种业有限公司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广州市粤蔬种子科技有限公司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广州市大农园艺种子有限公司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广州农达种子科技有限公司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D(粤广天)农种许字(2018)第0004号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广州农科生态发展有限公司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广州业奇种业有限公司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广州市华叶种苗科技有限公司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广州鸿志种业科技有限公司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89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广州市农源种业科技有限公司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广州市福鑫种苗科技有限公司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广州科田种苗有限公司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广州早稻田种业有限公司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广州粤农种苗高新科技有限公司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广州双收农业科技有限公司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D(粤广天)农种许字(2021)第0018号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广州市越秀区广联种子行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广州市旭泽农业有限公司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D(粤广越)农种许字(2017)第0012号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广州神农种业有限公司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广州中粤种业科技有限公司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D(粤广越)农种许字(2017)第0013号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99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广州市大田园种子有限公司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广东三亿种业有限公司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广州市越秀区蔡远种籽店</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广州市种子进出口有限公司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广州市越秀区蔡权种子经营部</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D(粤广越)农种许字(2021)第0006号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广州市兴田种子有限公司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广州源清农业有限公司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广州市伟兴农业科技有限公司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广州市水江种业有限公司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广州市伟兴利种子有限公司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D(粤广越)农种许字(2021)第0001号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109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广州市增城百敢种子店</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D(粤广增)农种许字(2020)第0004号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三百颗（广东）农业科技有限公司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广州绿垠农业科技发展有限公司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广州金河农业有限公司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D(粤广增)农种许字(2023)第0004号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广州卓越种业科技有限公司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广州市兴丰荣富农业科技有限公司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广东小丰种业有限公司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C(粤广增)农种许字(2023)第0001号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广州朱村农业投资发展有限公司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C(粤广增)农种许字(2023)第0002号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广州天康农业专业合作社</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广州兴科农业科技有限公司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119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广州金锄头种植有限公司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广州市增城华优农场</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广州市穗德丰种业有限公司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D(粤广增)农种许字(2023)第0003号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广州市增城绿满地种业推广中心</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广州绿聚来农业发展有限公司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广州市珍绿农业发展有限公司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D(粤广增)农种许字(2024)第0001号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广州市合丰收农业有限公司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广州益农种业科技有限公司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广州市宏诚果业有限公司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D(粤广增)农种许字(2020)第0005号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广东小丰种业有限公司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D(粤广增)农种许字(2023)第0002号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深圳市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129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创世纪种业有限公司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E(农)农种许字(2018)第0105号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创世纪种业有限公司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G(农)农种许字(2017)第0010号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深圳市种子种苗有限公司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E(农)农种许字(2021)第0250号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深圳金谷隆种业有限公司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B(粤)农种许字(2022)第0005号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深圳洁田模式生物科技有限公司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B(粤)农种许字(2023)第0001号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创世纪种业有限公司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B、C、D(粤)农种许字(2018)第0003号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深圳市兆农农业科技有限公司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A(粤)农种许字(2021)第0002号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深圳丰德康种业股份有限公司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B(粤)农种许字(2022)第0002号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创世纪种业有限公司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A(粤)农种许字(2019)第0001号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深圳桃花源农业科学研究中心有限公司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B(粤)农种许字(2024)第0001号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lang w:eastAsia="zh-CN"/>
              </w:rPr>
            </w:pPr>
            <w:r>
              <w:rPr>
                <w:rFonts w:hint="eastAsia" w:ascii="仿宋_GB2312" w:hAnsi="仿宋_GB2312" w:eastAsia="仿宋_GB2312" w:cs="仿宋_GB2312"/>
                <w:b w:val="0"/>
                <w:bCs w:val="0"/>
                <w:i w:val="0"/>
                <w:color w:val="auto"/>
                <w:sz w:val="21"/>
                <w:szCs w:val="21"/>
                <w:highlight w:val="none"/>
                <w:u w:val="none"/>
                <w:lang w:eastAsia="zh-CN"/>
              </w:rPr>
              <w:t>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139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深圳市农科蔬菜科技有限公司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D(粤深)农种许字(2019)第0004号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深圳市澳鑫利实业有限公司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D(粤深)农种许字(2017)第0001号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深圳市农科植物克隆种苗有限公司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D(粤深)农种许字(2019)第0003号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深圳市范记种子有限公司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w:t>
            </w:r>
            <w:r>
              <w:rPr>
                <w:rFonts w:hint="eastAsia" w:ascii="仿宋_GB2312" w:hAnsi="仿宋_GB2312" w:eastAsia="仿宋_GB2312" w:cs="仿宋_GB2312"/>
                <w:b w:val="0"/>
                <w:bCs w:val="0"/>
                <w:i w:val="0"/>
                <w:color w:val="auto"/>
                <w:kern w:val="0"/>
                <w:sz w:val="21"/>
                <w:szCs w:val="21"/>
                <w:highlight w:val="none"/>
                <w:u w:val="none"/>
                <w:lang w:val="en-US" w:eastAsia="zh-CN" w:bidi="ar"/>
              </w:rPr>
              <w:t>粤深</w:t>
            </w:r>
            <w:r>
              <w:rPr>
                <w:rFonts w:hint="default" w:ascii="仿宋_GB2312" w:hAnsi="仿宋_GB2312" w:eastAsia="仿宋_GB2312" w:cs="仿宋_GB2312"/>
                <w:b w:val="0"/>
                <w:bCs w:val="0"/>
                <w:i w:val="0"/>
                <w:color w:val="auto"/>
                <w:kern w:val="0"/>
                <w:sz w:val="21"/>
                <w:szCs w:val="21"/>
                <w:highlight w:val="none"/>
                <w:u w:val="none"/>
                <w:lang w:val="en-US" w:eastAsia="zh-CN" w:bidi="ar"/>
              </w:rPr>
              <w:t>)</w:t>
            </w:r>
            <w:r>
              <w:rPr>
                <w:rFonts w:hint="eastAsia" w:ascii="仿宋_GB2312" w:hAnsi="仿宋_GB2312" w:eastAsia="仿宋_GB2312" w:cs="仿宋_GB2312"/>
                <w:b w:val="0"/>
                <w:bCs w:val="0"/>
                <w:i w:val="0"/>
                <w:color w:val="auto"/>
                <w:kern w:val="0"/>
                <w:sz w:val="21"/>
                <w:szCs w:val="21"/>
                <w:highlight w:val="none"/>
                <w:u w:val="none"/>
                <w:lang w:val="en-US" w:eastAsia="zh-CN" w:bidi="ar"/>
              </w:rPr>
              <w:t>农种许字</w:t>
            </w:r>
            <w:r>
              <w:rPr>
                <w:rFonts w:hint="default" w:ascii="仿宋_GB2312" w:hAnsi="仿宋_GB2312" w:eastAsia="仿宋_GB2312" w:cs="仿宋_GB2312"/>
                <w:b w:val="0"/>
                <w:bCs w:val="0"/>
                <w:i w:val="0"/>
                <w:color w:val="auto"/>
                <w:kern w:val="0"/>
                <w:sz w:val="21"/>
                <w:szCs w:val="21"/>
                <w:highlight w:val="none"/>
                <w:u w:val="none"/>
                <w:lang w:val="en-US" w:eastAsia="zh-CN" w:bidi="ar"/>
              </w:rPr>
              <w:t>(2019)</w:t>
            </w:r>
            <w:r>
              <w:rPr>
                <w:rFonts w:hint="eastAsia" w:ascii="仿宋_GB2312" w:hAnsi="仿宋_GB2312" w:eastAsia="仿宋_GB2312" w:cs="仿宋_GB2312"/>
                <w:b w:val="0"/>
                <w:bCs w:val="0"/>
                <w:i w:val="0"/>
                <w:color w:val="auto"/>
                <w:kern w:val="0"/>
                <w:sz w:val="21"/>
                <w:szCs w:val="21"/>
                <w:highlight w:val="none"/>
                <w:u w:val="none"/>
                <w:lang w:val="en-US" w:eastAsia="zh-CN" w:bidi="ar"/>
              </w:rPr>
              <w:t>第</w:t>
            </w:r>
            <w:r>
              <w:rPr>
                <w:rFonts w:hint="default" w:ascii="仿宋_GB2312" w:hAnsi="仿宋_GB2312" w:eastAsia="仿宋_GB2312" w:cs="仿宋_GB2312"/>
                <w:b w:val="0"/>
                <w:bCs w:val="0"/>
                <w:i w:val="0"/>
                <w:color w:val="auto"/>
                <w:kern w:val="0"/>
                <w:sz w:val="21"/>
                <w:szCs w:val="21"/>
                <w:highlight w:val="none"/>
                <w:u w:val="none"/>
                <w:lang w:val="en-US" w:eastAsia="zh-CN" w:bidi="ar"/>
              </w:rPr>
              <w:t>0001</w:t>
            </w:r>
            <w:r>
              <w:rPr>
                <w:rFonts w:hint="eastAsia" w:ascii="仿宋_GB2312" w:hAnsi="仿宋_GB2312" w:eastAsia="仿宋_GB2312" w:cs="仿宋_GB2312"/>
                <w:b w:val="0"/>
                <w:bCs w:val="0"/>
                <w:i w:val="0"/>
                <w:color w:val="auto"/>
                <w:kern w:val="0"/>
                <w:sz w:val="21"/>
                <w:szCs w:val="21"/>
                <w:highlight w:val="none"/>
                <w:u w:val="none"/>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深圳市喜良种子有限公司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D(粤深)农种许字(2019)第0002号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深圳金谷隆种业有限公司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C(粤深大)农种许字(2020)第0001号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深圳市农科植物克隆种苗有限公司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D(粤深福)农种许字(2020)第0001号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深圳市深业农科花卉有限公司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D(粤深福)农种许字(2020)第0002号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深圳洁田模式生物科技有限公司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C(粤深光)农种许字(2021)第0001号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创世纪种业有限公司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CD(粤深龙)农种许字(2022)第0001号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149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深圳丰德康种业股份有限公司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C(粤深龙)农种许字(2022)第0001号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深圳市永利种业有限公司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D(粤深龙)农种许字(2021)第0001号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深圳丰德康种业股份有限公司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C(粤深龙)农种许字(2022)第0001号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珠海市</w:t>
            </w:r>
          </w:p>
        </w:tc>
        <w:tc>
          <w:tcPr>
            <w:tcW w:w="859"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广东省良种引进服务公司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E(农)农种许字(2021)第0231号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广东省良种引进服务公司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A(粤)农种许字(2021)第0001号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广东省良种引进服务公司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B、C、D(粤)农种许字(2018)第0001号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珠海市秋喜种业有限公司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D(粤珠斗)农种许字(2024)第0001号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斗门区井岸兴隆蔬菜种籽店</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D(粤珠斗)农种许字(2022)第0002号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珠海市农之友种子有限公司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D(粤珠斗)农种许字(2022)第0001号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珠海农富种苗有限公司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D(粤珠金)农种许字(2021)第0001号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159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珠海市富宇种苗有限公司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D(粤珠香)农种许字(2021)第0001号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广东和利农生物种业股份有限公司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E(农)农种许字(2020)第0214号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p>
        </w:tc>
        <w:tc>
          <w:tcPr>
            <w:tcW w:w="859" w:type="dxa"/>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汕头市澄海区金沙蔬菜研究所（普通合伙）</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E(农)农种许字(2023)第0360号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汕头市金韩种业有限公司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B(粤)农种许字(2020)第0001号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广东和利农生物种业股份有限公司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D(粤)农种许字(2017)第0010号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汕头市金轩种业有限公司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D(粤汕)农种许字(2020)第0003号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汕头市汕绿种业有限公司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汕头市金韩种业有限公司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汕头市丰登种子有限公司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汕头市德娇种业科技有限公司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D(粤汕潮南)农种许字(2021)第0002号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169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汕头市天顺种子有限公司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D(粤汕潮阳)农种许字(2017)第0001号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汕头市澄海区成启种子贸易商行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汕头市澄海区广和金信种子商行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D(粤汕澄)农种许字(2018)第0003号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汕头市澄海区明丰种籽有限公司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汕头市澄海区金田种业有限公司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汕头市新天地农业有限公司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D(粤汕澄)农种许字(2023)第0006号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汕头市创欢农业有限公司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广东和利农农业研究院有限公司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汕头市澄海区富田种子有限公司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汕头市峰芝源种业有限公司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179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汕头市澄海区金沙蔬菜研究所（普通合伙）</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汕头市澄海区升合种子有限责任公司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汕头市澄海区楷农种子有限公司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汕头市澄海区金富种子有限公司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汕头市澄海区绿丰种子有限公司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汕头市澄海区湾头农辉果菜种苗场</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汕头市绿威种业有限公司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汕头市澄海区实诚种子有限公司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汕头市澄海区新农蔬菜原种研究所</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汕头市合农农业发展有限公司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189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汕头市白沙昌农种业有限公司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D(粤汕澄)农种许字(2018)第0002号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汕头市力先种业有限公司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D(粤汕澄)农种许字(2023)第0005号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汕头市澄海区高雄种苗有限公司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汕头市金农科农业科技有限公司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D(粤汕澄)农种许字(2023)第0003号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汕头市汕蔬农业发展有限公司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汕头市澄海区泰丰种子贸易商行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汕头市澄海区和友种子有限公司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汕头市和邦种业有限公司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汕头市和元邦种养有限公司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汕头市澄海区亿农种业有限公司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D(粤汕澄)农种许字(2020)第0012号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199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汕头市澄海区良丰蔬菜原种研究所</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D(粤汕澄)农种许字(2020)第0006号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汕头市汕缘农业发展有限公司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D(粤汕澄)农种许字(2022)第0002号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汕头市汕星种子有限公司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D(粤汕金)农种许字(2021)第0001号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广东宝树农业科技有限公司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D(粤汕龙)农种许字(2021)第0002号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汕头市龙湖区多发种子站</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D(粤汕龙)农种许字(2021)第0001号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汕头市永耕农业有限公司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D(粤汕龙)农种许字(2023)第0001号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佛山市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佛山市南海区大沥街边吕锡种子店</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D(粤佛南)农种许字(2021)第0002号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 xml:space="preserve">佛山市南海区金彩蝶园艺有限公司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D(粤佛南)农种许字(2022)第0001号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广东鸿景农业科技有限公司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C(粤佛南)农种许字(2023)第0001号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佛山市南海区大沥农苑园艺种子种苗行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D(粤佛南)农种许字(2021)第0001号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209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广东维生农业股份有限公司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D(粤佛顺)农种许字(2020)第0001号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韶关市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韶关市晨丰种业有限公司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CD(粤韶浈)农种许字(2021)第0001号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韶关市三雄农业科技发展有限公司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D(粤韶浈)农种许字(2019)第0001号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乐昌市昌农农业投资有限公司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D(粤韶乐)农种许字(2021)第0001号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南雄新沃农业科技有限公司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D(粤韶南)农种许字(2021)第0001号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广东江茂源粮油有限公司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D(粤韶始)农种许字(2022)第0001号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广东绿宝农业科技发展有限公司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D(粤韶翁)农种许字(2023)第0001号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河源市</w:t>
            </w:r>
          </w:p>
        </w:tc>
        <w:tc>
          <w:tcPr>
            <w:tcW w:w="859"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广东兆华种业有限公司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河源市华睿蓝莓实业有限公司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D(粤河)农种许字(2019)第0001号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广东中兴绿丰发展有限公司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D(粤河)农种许字(2021)第0001号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219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河源忠仁生物科技有限公司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D(粤河连)农种许字(2019)第0001号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梅州市乐得鲜农业开发有限公司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梅州市华顺农林发展有限公司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梅州市海亿实业有限公司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D(粤梅)农种许字(2021)第0001号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梅州市吉丰种业发展有限公司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D(粤梅州梅江)农种许字(2022)第0001号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梅州市三农种业发展有限公司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D(粤梅州梅江)农种许字(2023)第0001号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平远县东兴种子批发部</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D(粤梅平)农种许字(2022)第0001号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兴宁市庆丰盈科种子有限公司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D(粤梅兴)农种许字(2020)第0001号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华木种子有限公司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D(粤梅兴)农种许字(2020)第0002号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兴宁市名兴种子有限公司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D(粤梅兴)农种许字(2023)第0001号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229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梅州市合百草农业科技发展有限公司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D(粤梅兴)农种许字(2024)第0001号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惠州市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力禾农业（惠州）有限公司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E(农)农种许字(2023)第0296号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力禾农业（惠州）有限公司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F(农)农种许字(2023)第0029号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惠州市好世方农业发展有限公司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CD(粤惠惠)农种许字(2023)第0001号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惠州市源林农业发展有限公司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CD(粤惠惠)农种许字(2023)第0002号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惠东县广源农业有限公司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D(粤惠惠)农种许字(2023)第0001号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广东大橘果业有限公司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D(粤惠惠阳)农种许字(2019)第0001号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汕尾市</w:t>
            </w:r>
          </w:p>
        </w:tc>
        <w:tc>
          <w:tcPr>
            <w:tcW w:w="859"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陆丰植物龙生态农业发展有限公司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D(粤汕)农种许字(2023)第0001号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东莞市</w:t>
            </w:r>
          </w:p>
        </w:tc>
        <w:tc>
          <w:tcPr>
            <w:tcW w:w="859"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广东圣茵花卉园艺有限公司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E(农)农种许字(2021)第0251号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东莞市农星生物工程有限公司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D(粤东东)农种许字(2019)第0001号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239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广东圣茵花卉园艺有限公司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D(粤东东)农种许字(2019)第0002号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中山市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广东龙业生物科技有限公司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D(粤中)农种许字(2019)第0001号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中山缤纷园艺有限公司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D(粤中)农种许字(2023)第0001号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江门市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部级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开平高华种子有限公司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E(农)农种许字(2022)第0257号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开平高华种子有限公司 </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 xml:space="preserve">F(农)农种许字(2022)第0025号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广东鲜美种苗股份有限公司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B、C、D(粤)农种许字(2016)第0002号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广东大海农业科技有限公司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广东天之源农业科技有限公司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B、C、D(粤)农种许字(2017)第0007号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鹤山市农芯安种子店</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D(粤江鹤)农种许字(2023)第0002号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鹤山市朋广农业有限公司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D(粤江鹤)农种许字(2022)第0001号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249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鹤山市恒丰种子经营部</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D(粤江鹤)农种许字(2023)第0001号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开平市祖浩农业科技有限公司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开平市津农农业有限公司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开平市有记农业科技有限公司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江门市良谷种业有限公司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开平市杨伟业菜种行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广东省薯源农业科技有限公司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开平市海加仕种子有限公司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开平市李海菜种行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江门市邦丰种子有限公司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D(粤江开)农种许字(2022)第0004号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259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江门市永盛种业有限公司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D(粤江门蓬江)农种许字(2019)第0004号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江门市鸿豪实友生物有限公司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D(粤江门蓬江)农种许字(2020)第0003号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江门市新兴种业有限公司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D(粤江门蓬江)农种许字(2021)第0002号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江门利隆种业有限公司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D(粤江门蓬江)农种许字(2021)第0001号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广东德天农业科技有限公司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C(粤江门台山)农种许字(2023)第0001号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广东省天德禄农业科技有限公司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D(粤江台)农种许字(2024)第0001号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谭江种业（广东）有限公司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C(粤江台)农种许字(2024)第0001号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广东龙飞生物有限公司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D(粤江台)农种许字(2024)第0002号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台山市利农种子有限公司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D(粤江门台山)农种许字(2017)第0001号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江门市新会区侨宝柑苗繁育有限责任公司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D(粤江新)农种许字(2022)第0001号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269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江门市新会老林柑桔橙苗基地有限公司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D(粤江新)农种许字(2022)第0002号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江门市新会区林业科学研究所</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D(粤江新)农种许字(2021)第0002号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江门市稳丰种业有限公司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D(粤江新)农种许字(2021)第0003号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江门市文丰种业有限公司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D(粤江新)农种许字(2021)第0001号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江门益丰农业科技有限公司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D(粤江新)农种许字(2020)第0001号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阳江市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阳春市水果生产服务中心</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阳春市春城联兴种子商行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阳春市春城民发种子店</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阳春市春城万家丰种子经营部</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阳春市农业生产资料公司益民农资门市部</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279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广东粤森生态农业科技有限公司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D(粤阳阳)农种许字(2022)第0003号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广东丰多采农业发展有限公司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D(粤阳阳)农种许字(2023)第0003号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阳江市农村盛宴农业发展有限公司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D(粤阳阳)农种许字(2023)第0004号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阳西县丰盛种植专业合作社</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D(粤阳阳)农种许字(2023)第0005号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阳西县新农庄种养专业合作社</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D(粤阳阳)农种许字(2023)第0001号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湛江市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广东源泰农业科技有限公司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B(粤)农种许字(2021)第0001号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广东天弘种业有限公司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B、C、D(粤)农种许字(2016)第0003号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广东粤良种业有限公司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B、C、D(粤)农种许字(2017)第0008号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广东中燕种业有限公司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D(粤湛)农种许字(2022)第0004号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湛江海大种业科技有限公司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289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湛江市霞山区黄氏美达福种子有限公司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湛江市霞山区茂生蔬菜种子有限公司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湛江市大地蔬菜种子有限公司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湛江市伟坤种籽有限公司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广东顺祺农业科技有限公司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D(粤湛雷)农种许字(2019)第0001号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廉江市茗皇红橙果业有限公司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D(粤湛廉)农种许字(2021)第0001号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海露（广东）种业有限公司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CD(粤湛廉)农种许字(2024)第0001号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江淮园艺南方（湛江）农业技术研发有限公司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D(粤湛坡)农种许字(2023)第0001号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广东粤良种业有限公司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CD(粤湛坡)农种许字(2019)第0002号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遂溪鑫兴农科技农业有限公司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D(粤湛遂)农种许字(2023)第0001号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299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广东瑞盈三农种植专业合作社</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D(粤湛遂)农种许字(2021)第0001号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湛江农垦种业有限公司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D(粤湛遂)农种许字(2023)第0002号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广东省大坤农业科技有限公司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D(粤湛霞)农种许字(2024)第0002号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徐闻县侨眷种籽行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D(粤湛徐)农种许字(2020)第0001号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茂名市</w:t>
            </w:r>
          </w:p>
        </w:tc>
        <w:tc>
          <w:tcPr>
            <w:tcW w:w="859"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省级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广东华茂高科种业有限公司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B、C(粤)农种许字(2021)第0002号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茂名市科茂农业发展有限公司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D(粤茂电)农种许字(2023)第0001号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高州市石生源生物科技发展有限公司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D(粤茂高)农种许字(2022)第0002号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广东优粤种苗培育有限公司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D(粤茂高)农种许字(2023)第0001号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广东亿通农业开发有限公司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D(粤茂高)农种许字(2022)第0001号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茂名市粤美生物科技有限公司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D(粤茂化)农种许字(2021)第0001号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309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茂名市大定种子科技有限公司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C(粤茂茂)农种许字(2022)第0001号</w:t>
            </w:r>
          </w:p>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D(粤茂茂)农种许字(2023)第0001号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茂名市中盈农业科技股份有限公司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D(粤茂茂)农种许字(2023)第0005号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茂名市科园农业有限公司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D(粤茂茂)农种许字(2023)第0004号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茂名才华种子中心</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D(粤茂茂)农种许字(2021)第0001号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茂名市城区茂研种子种苗中心</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D(粤茂茂)农种许字(2022)第0002号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茂名市旺家农业新科技开发有限公司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D(粤茂茂)农种许字(2021)第0003号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茂名市泰蔬种子科技有限公司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D(粤茂茂)农种许字(2021)第0005号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茂名茂蔬种业科技有限公司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D(粤茂茂)农种许字(2021)第0002号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肇庆市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碧桂园农业（德庆）有限公司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D(粤肇德)农种许字(2021)第0001号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肇庆合创丰种子有限公司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D(粤肇怀)农种许字(2022)第0001号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319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四会市黄田镇民安种子店</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D(粤肇四)农种许字(2022)第0001号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国药集团德众（佛山）药业有限公司四会分公司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D(粤肇四)农种许字(2023)第0001号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清远市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连州市丰裕农业科技有限公司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D(粤清连)农种许字(2021)第0002号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清远市农蔬园种子有限公司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D(粤清清)农种许字(2020)第0001号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清远市乐田农业有限公司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D(粤清清)农种许字(2021)第0001号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广东蔬谷子农业科技有限公司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D(粤清清)农种许字(2024)第0001号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清远市清蔬种子有限公司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D(粤清清)农种许字(2019)第0001号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英德市艺蔬种业有限公司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D(粤清英)农种许字(2021)第0002号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广东金福园种业科技有限公司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D(粤清英)农种许字(2023)第0001号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广东德高信种植有限公司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D(粤清英)农种许字(2022)第0001号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329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英德市天源农业科技发展有限公司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D(粤清英)农种许字(2021)第0001号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潮州市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潮州市城西明生菜籽商店</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D(粤潮)农种许字(2021)第0001号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潮州市潮研种业有限公司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D(粤潮)农种许字(2022)第0001号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潮州市东嘉种子有限公司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D(粤潮湘)农种许字(2020)第0002号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揭阳市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333</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揭阳市农研种业有限公司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D(粤揭揭)农种许字(2023)第0001号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334</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揭阳市农友种子有限公司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D(粤揭榕)农种许字(2021)第0001号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335</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揭阳市榕城区马牙顺兴种子行</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D(粤揭榕)农种许字(2021)第0005号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336</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揭阳市保丰种子有限公司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D(粤揭榕)农种许字(2021)第0003号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337</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揭阳市忠信种业有限公司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D(粤揭榕)农种许字(2021)第0004号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338</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揭阳市福宝农业有限公司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D(粤揭榕)农种许字(2021)第0002号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云浮市</w:t>
            </w: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地市级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339</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广东天禾良种苗木繁育有限公司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D(粤云)农种许字(2022)第0001号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p>
        </w:tc>
        <w:tc>
          <w:tcPr>
            <w:tcW w:w="859" w:type="dxa"/>
            <w:vMerge w:val="continue"/>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340</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广东省桦一种业有限公司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CD(粤云)农种许字(2023)第0001号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restart"/>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县级</w:t>
            </w: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341</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广东省绿家农业发展有限公司</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kern w:val="0"/>
                <w:sz w:val="21"/>
                <w:szCs w:val="21"/>
                <w:highlight w:val="none"/>
                <w:u w:val="none"/>
                <w:lang w:val="en-US" w:eastAsia="zh-CN" w:bidi="ar"/>
              </w:rPr>
            </w:pPr>
            <w:r>
              <w:rPr>
                <w:rFonts w:hint="default" w:ascii="仿宋_GB2312" w:hAnsi="仿宋_GB2312" w:eastAsia="仿宋_GB2312" w:cs="仿宋_GB2312"/>
                <w:b w:val="0"/>
                <w:bCs w:val="0"/>
                <w:i w:val="0"/>
                <w:color w:val="auto"/>
                <w:kern w:val="0"/>
                <w:sz w:val="21"/>
                <w:szCs w:val="21"/>
                <w:highlight w:val="none"/>
                <w:u w:val="none"/>
                <w:lang w:val="en-US" w:eastAsia="zh-CN" w:bidi="ar"/>
              </w:rPr>
              <w:t>D(粤云罗)农种许字(2023)第0001号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2"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859" w:type="dxa"/>
            <w:vMerge w:val="continue"/>
            <w:tcBorders>
              <w:tl2br w:val="nil"/>
              <w:tr2bl w:val="nil"/>
            </w:tcBorders>
            <w:noWrap/>
            <w:vAlign w:val="center"/>
          </w:tcPr>
          <w:p>
            <w:pPr>
              <w:keepNext w:val="0"/>
              <w:keepLines w:val="0"/>
              <w:pageBreakBefore w:val="0"/>
              <w:widowControl w:val="0"/>
              <w:kinsoku/>
              <w:wordWrap/>
              <w:overflowPunct/>
              <w:topLinePunct w:val="0"/>
              <w:autoSpaceDE/>
              <w:autoSpaceDN/>
              <w:bidi w:val="0"/>
              <w:adjustRightInd w:val="0"/>
              <w:snapToGrid w:val="0"/>
              <w:jc w:val="center"/>
              <w:rPr>
                <w:rFonts w:hint="eastAsia" w:ascii="仿宋_GB2312" w:hAnsi="仿宋_GB2312" w:eastAsia="仿宋_GB2312" w:cs="仿宋_GB2312"/>
                <w:b w:val="0"/>
                <w:bCs w:val="0"/>
                <w:i w:val="0"/>
                <w:color w:val="auto"/>
                <w:sz w:val="21"/>
                <w:szCs w:val="21"/>
                <w:highlight w:val="none"/>
                <w:u w:val="none"/>
              </w:rPr>
            </w:pPr>
          </w:p>
        </w:tc>
        <w:tc>
          <w:tcPr>
            <w:tcW w:w="600" w:type="dxa"/>
            <w:tcBorders>
              <w:tl2br w:val="nil"/>
              <w:tr2bl w:val="nil"/>
            </w:tcBorders>
            <w:noWrap/>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仿宋_GB2312" w:hAnsi="仿宋_GB2312" w:eastAsia="仿宋_GB2312" w:cs="仿宋_GB2312"/>
                <w:b w:val="0"/>
                <w:bCs w:val="0"/>
                <w:i w:val="0"/>
                <w:color w:val="auto"/>
                <w:kern w:val="0"/>
                <w:sz w:val="21"/>
                <w:szCs w:val="21"/>
                <w:highlight w:val="none"/>
                <w:u w:val="none"/>
                <w:lang w:val="en-US" w:eastAsia="zh-CN" w:bidi="ar"/>
              </w:rPr>
            </w:pPr>
            <w:r>
              <w:rPr>
                <w:rFonts w:hint="eastAsia" w:ascii="仿宋_GB2312" w:hAnsi="仿宋_GB2312" w:eastAsia="仿宋_GB2312" w:cs="仿宋_GB2312"/>
                <w:b w:val="0"/>
                <w:bCs w:val="0"/>
                <w:i w:val="0"/>
                <w:color w:val="auto"/>
                <w:kern w:val="0"/>
                <w:sz w:val="21"/>
                <w:szCs w:val="21"/>
                <w:highlight w:val="none"/>
                <w:u w:val="none"/>
                <w:lang w:val="en-US" w:eastAsia="zh-CN" w:bidi="ar"/>
              </w:rPr>
              <w:t>342</w:t>
            </w:r>
          </w:p>
        </w:tc>
        <w:tc>
          <w:tcPr>
            <w:tcW w:w="332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郁南县联兴南药专业合作社</w:t>
            </w:r>
          </w:p>
        </w:tc>
        <w:tc>
          <w:tcPr>
            <w:tcW w:w="3866"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eastAsia" w:ascii="仿宋_GB2312" w:hAnsi="仿宋_GB2312" w:eastAsia="仿宋_GB2312" w:cs="仿宋_GB2312"/>
                <w:b w:val="0"/>
                <w:bCs w:val="0"/>
                <w:i w:val="0"/>
                <w:color w:val="auto"/>
                <w:sz w:val="21"/>
                <w:szCs w:val="21"/>
                <w:highlight w:val="none"/>
                <w:u w:val="none"/>
              </w:rPr>
            </w:pPr>
            <w:r>
              <w:rPr>
                <w:rFonts w:hint="eastAsia" w:ascii="仿宋_GB2312" w:hAnsi="仿宋_GB2312" w:eastAsia="仿宋_GB2312" w:cs="仿宋_GB2312"/>
                <w:b w:val="0"/>
                <w:bCs w:val="0"/>
                <w:i w:val="0"/>
                <w:color w:val="auto"/>
                <w:kern w:val="0"/>
                <w:sz w:val="21"/>
                <w:szCs w:val="21"/>
                <w:highlight w:val="none"/>
                <w:u w:val="none"/>
                <w:lang w:val="en-US" w:eastAsia="zh-CN" w:bidi="ar"/>
              </w:rPr>
              <w:t>D(粤云郁)农种许字(2019)第0001号</w:t>
            </w:r>
          </w:p>
        </w:tc>
      </w:tr>
    </w:tbl>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_GB2312" w:hAnsi="仿宋_GB2312" w:eastAsia="仿宋_GB2312" w:cs="仿宋_GB2312"/>
          <w:sz w:val="32"/>
          <w:szCs w:val="32"/>
          <w:highlight w:val="none"/>
          <w:lang w:val="en-US" w:eastAsia="zh-CN"/>
        </w:rPr>
      </w:pPr>
    </w:p>
    <w:p>
      <w:pPr>
        <w:pStyle w:val="8"/>
        <w:ind w:left="1264" w:leftChars="100" w:right="316" w:rightChars="100" w:hanging="948" w:hangingChars="300"/>
        <w:rPr>
          <w:rFonts w:hint="eastAsia" w:eastAsia="仿宋_GB2312"/>
          <w:snapToGrid w:val="0"/>
          <w:kern w:val="0"/>
          <w:lang w:eastAsia="zh-CN"/>
        </w:rPr>
      </w:pPr>
      <w:bookmarkStart w:id="0" w:name="F_CSDW"/>
      <w:bookmarkEnd w:id="0"/>
    </w:p>
    <w:p>
      <w:bookmarkStart w:id="1" w:name="_GoBack"/>
      <w:bookmarkEnd w:id="1"/>
    </w:p>
    <w:sectPr>
      <w:footerReference r:id="rId4" w:type="default"/>
      <w:pgSz w:w="11906" w:h="16838"/>
      <w:pgMar w:top="1871" w:right="1531" w:bottom="1871" w:left="1531" w:header="851" w:footer="1418" w:gutter="0"/>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2</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20E2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jc w:val="both"/>
    </w:pPr>
    <w:rPr>
      <w:rFonts w:ascii="Times New Roman" w:hAnsi="Times New Roman" w:eastAsia="宋体" w:cs="Times New Roman"/>
      <w:kern w:val="2"/>
      <w:sz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ascii="Calibri" w:hAnsi="Calibri" w:eastAsia="宋体" w:cs="Times New Roman"/>
      <w:sz w:val="21"/>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Body Text First Indent 2"/>
    <w:basedOn w:val="2"/>
    <w:qFormat/>
    <w:uiPriority w:val="0"/>
    <w:pPr>
      <w:ind w:firstLine="420" w:firstLineChars="200"/>
    </w:pPr>
    <w:rPr>
      <w:rFonts w:ascii="Times New Roman" w:hAnsi="Times New Roman" w:eastAsia="宋体" w:cs="Times New Roman"/>
    </w:rPr>
  </w:style>
  <w:style w:type="character" w:customStyle="1" w:styleId="7">
    <w:name w:val="font01"/>
    <w:basedOn w:val="6"/>
    <w:autoRedefine/>
    <w:qFormat/>
    <w:uiPriority w:val="0"/>
    <w:rPr>
      <w:rFonts w:hint="eastAsia" w:ascii="宋体" w:hAnsi="宋体" w:eastAsia="宋体" w:cs="宋体"/>
      <w:color w:val="000000"/>
      <w:sz w:val="24"/>
      <w:szCs w:val="24"/>
      <w:u w:val="none"/>
    </w:rPr>
  </w:style>
  <w:style w:type="paragraph" w:customStyle="1" w:styleId="8">
    <w:name w:val="p0"/>
    <w:basedOn w:val="1"/>
    <w:autoRedefine/>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2024-02-28T06:57:08Z</dcterms:created>
  <dc:creator>wuyin</dc:creator>
  <cp:lastModifiedBy>One</cp:lastModifiedBy>
  <dcterms:modified xsi:type="dcterms:W3CDTF">2024-02-28T06:57:12Z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A6124DA773EC4CAD92E98D70632B7AC2_12</vt:lpwstr>
  </property>
</Properties>
</file>