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附件1</w:t>
      </w:r>
    </w:p>
    <w:p>
      <w:pPr>
        <w:adjustRightInd w:val="0"/>
        <w:snapToGrid w:val="0"/>
        <w:spacing w:beforeLines="0" w:afterLines="0" w:line="590" w:lineRule="exact"/>
        <w:ind w:firstLine="720" w:firstLineChars="200"/>
        <w:jc w:val="both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全国农作物种业统计系统填报方法与工作流程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napToGrid w:val="0"/>
          <w:spacing w:val="-6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全国农作物种业统计系统由管理员用户、企业统计管理员用户、种业工作信息员用户和企业用户四类角色操作。管理员用户、种业工作信息员和企业统计管理员用户又分为省、市、县三级。管理员用户为各级农业农村行政主管部门，负责统筹辖区整体工作，指定本级企业统计管理员用户和种业工作信息员用户（管理员用户、企业统计管理员用户和种业工作信息员用户可为同一账号）。企业统计管理员用户负责统筹本辖区内企业数据催报审核工作，种业工作信息员用户负责填报管理员分配的种业工作情况报表。企业用户为统计年度内持有效农作物种子生产经营许可证的企业，负责填报本企业年度经营情况报表。各类用户登录中国种业大数据平台（http://202.127.42.145/bigdataNew/），点击“统计调度”选择“全国农作物种业统计系统”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Cs w:val="32"/>
        </w:rPr>
        <w:t>（http://202.127.42.89:8061/）登录，工作流程及操作指南如下（详细的操作指南可在登录界面下载操作手册和操作视频查看）。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一、管理员用户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各级“管理员用户”的登录账号为行政区划代码，密码与上一年度一样；如若忘记可联系上级主管部门获取（系统的详细功能介绍请在系统帮助里下载操作手册）。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（二）任务分配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1.填报职责分工表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各级“管理员用户”登录系统后应在我的工作台界面填报“本级农作物种业统计工作责任分工表”，同时也可在本界面查看导出辖区的统计工作责任分工情况表。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2.分配本级种业工作信息员用户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管理员用户”在填报完成职责分工表后，应按照系统提示前往“系统管理”的“本级种业工作信息员用户”界面添加“种业工作信息员用户”和“企业统计管理员用户”，按照操作提示设置用户的权限并通知“种业工作信息员用户”进行数据填报，通知“企业统计管理员用户”进行企业管理等操作。用户权限设置应与“本级农作物种业统计工作责任分工表”一致，若需更改权限请在“权限管理”界面进行更改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（三）数据上报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1.本级数据审核上报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管理员用户”根据任务分工组织本级相关“种业工作信息员用户”登录自己的账号填报相应种业工作情况表，“管理员用户”负责本级种业工作情况表所有内容的最终把关，报表数据核实无误后点击上报。数据填报可在线填报，也可下载导入模板，线下填写后导入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2.辖区数据审核上报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“管理员用户”负责组织辖区各级的种业工作情况填报、催报和审核工作。数据审核可以通过线上和线下两种方式。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线上审核：</w:t>
      </w:r>
      <w:r>
        <w:rPr>
          <w:rFonts w:hint="eastAsia" w:ascii="仿宋_GB2312" w:hAnsi="仿宋_GB2312" w:eastAsia="仿宋_GB2312" w:cs="仿宋_GB2312"/>
          <w:kern w:val="0"/>
          <w:szCs w:val="32"/>
        </w:rPr>
        <w:t>通过“数据审核”功能完成相关操作，若是有问题的报表，可双击指标项做颜色标记然后写明原因直接退回数据上报的“管理员用户”，并通知其修改重报。若数据无误，直接点击审核通过。可以单张报表审核无误后点击审核通过，也可同一账户6张报表审核无误后整体点击审核通过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线下审核：</w:t>
      </w:r>
      <w:r>
        <w:rPr>
          <w:rFonts w:hint="eastAsia" w:ascii="仿宋_GB2312" w:hAnsi="仿宋_GB2312" w:eastAsia="仿宋_GB2312" w:cs="仿宋_GB2312"/>
          <w:kern w:val="0"/>
          <w:szCs w:val="32"/>
        </w:rPr>
        <w:t>通过“数据导出”功能，按照不同报表类型导出做线下审核，审核出的问题项需通过“数据审核”找到该报表标注问题项后退回重报。无问题的数据，则可通过“批量审核”功能勾选无问题的数据报表一次性审核通过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“省级管理员用户”负责辖区种业工作情况的最终审核和上报，统筹把控工作进度，并将审核无误的数据导入中间库，以便后续数据分析。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二、企业统计管理员用户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各级“企业统计管理员用户”的登录账号和密码由本级管理员用户设置，与上年一样。如若忘记可联系本级管理员用户或上级主管部门获取（系统的详细功能介绍请在系统帮助里下载操作手册）。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（二）企业名录核查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企业统计管理员”可在“企业情况总览”里看到统计年度内本辖区内所有企业的分布情况，可以到“企业用户管理”界面看到本年度所有企业情况，可将企业用户名录导出进行核查，若有名录未覆盖的企业需将企业信息报给“省级企业统计管理员”，由“省级企业统计管理员”通过“企业用户管理”界面的“新增”功能统一新增。在新增企业用户时，若企业有多个许可证号的可点击许可证号旁的“+”新增行填写，按照要求将数据补充完整后点击保存即可完成企业新增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（三）组织企业填报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企业名录核查无误后，各级“企业统计管理员”组织本辖区所有企业进行填报，并负责企业数据的催报和审核。数据审核可以通过线上和线下两种方式。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线上审核</w:t>
      </w:r>
      <w:r>
        <w:rPr>
          <w:rFonts w:hint="eastAsia" w:ascii="仿宋_GB2312" w:hAnsi="仿宋_GB2312" w:eastAsia="仿宋_GB2312" w:cs="仿宋_GB2312"/>
          <w:kern w:val="0"/>
          <w:szCs w:val="32"/>
        </w:rPr>
        <w:t>：通过“企业数据管理”功能完成相关操作，若是有问题的报表，可双击指标项做颜色标记然后写明原因直接退回数据上报企业，并通知其修改重报。若数据无误，直接点击审核通过。可以单张报表审核无误后点击审核通过，也可同一账户9张报表审核无误后整体点击审核通过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线下审核</w:t>
      </w:r>
      <w:r>
        <w:rPr>
          <w:rFonts w:hint="eastAsia" w:ascii="仿宋_GB2312" w:hAnsi="仿宋_GB2312" w:eastAsia="仿宋_GB2312" w:cs="仿宋_GB2312"/>
          <w:kern w:val="0"/>
          <w:szCs w:val="32"/>
        </w:rPr>
        <w:t>：通过“企业数据导出”功能，按照不同报表类型导出做线下审核，审核出的问题项需通过“企业数据管理功能”找到该企业相应报表标注问题项后退回重报。无问题的数据，则可通过“批量审核”功能勾选无问题的数据报表一次性审核通过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省级企业统计管理员”负责本辖区所有企业数据的最终审核和上报工作，统筹把控工作进度，并将审核无误的数据导入中间库，以便后续数据分析。若是导入中间库后发现数据有误需要返回“数据管理”企业表单里退回让企业重报，企业重报数据再次审核无误后，勾选该企业报表导入中间库即可覆盖上次数据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三、种业工作信息员用户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“种业工作信息员用户”的登录账号和密码由本级管理员用户设置，与上年一样。若忘记登录名和密码，请联系本级“管理员用户”获取，系统的详细功能介绍请在系统帮助里下载系操作手册。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（二）数据填报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“种业工作信息员用户”登录系统后请在“数据上报”界面填报统计年度的种业工作情况表，所有报表填报完成后，点击保存即可。如需修改请告知本级“管理员”后进行修改。</w:t>
      </w:r>
    </w:p>
    <w:p>
      <w:pPr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四、企业用户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企业用户”的登录名为农作物种子生产经营许可证上的企业全称，密码与上一年一样。新增“企业用户”的登录名为农作物种子生产经营许可证上的企业全称，密码联系本级或上级管理部门获取。若无法确认登录名和密码，请联系本级“企业统计管理员”或上级“企业统计管理员”获取，系统的详细功能介绍请在系统帮助里下载系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统</w:t>
      </w:r>
      <w:r>
        <w:rPr>
          <w:rFonts w:hint="eastAsia" w:ascii="仿宋_GB2312" w:hAnsi="仿宋_GB2312" w:eastAsia="仿宋_GB2312" w:cs="仿宋_GB2312"/>
          <w:kern w:val="0"/>
          <w:szCs w:val="32"/>
        </w:rPr>
        <w:t>操作手册。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（二）数据填报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“企业用户”登录系统后请在“数据上报”界面填报统计年度本企业经营情况表，所有报表填报完成后，保存点击上报即可。上报后如需修改请联系“企业统计管理员”退回修改。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农作物种业统计工作总结提纲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一、工作开展情况</w:t>
      </w:r>
    </w:p>
    <w:p>
      <w:pPr>
        <w:autoSpaceDE/>
        <w:autoSpaceDN/>
        <w:adjustRightInd w:val="0"/>
        <w:snapToGrid w:val="0"/>
        <w:spacing w:beforeLines="0" w:afterLines="0"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主要包括工作完成时效（未按时完成说明原因）、工作完成质量（主要包括数据上报情况、数据审核情况，机构和企业应报未报情况及未报原因、重点企业数据审核情况、重点指标的审核情况、异常指标的核实情况、年际间企业数据变化异常企业核实情况等内容）、工作推进中的一些较好的经验做法，数据上报与审核的主要方式方法，数据分析利用等方面的成效等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二、主要举措</w:t>
      </w:r>
    </w:p>
    <w:p>
      <w:pPr>
        <w:autoSpaceDE/>
        <w:autoSpaceDN/>
        <w:adjustRightInd w:val="0"/>
        <w:snapToGrid w:val="0"/>
        <w:spacing w:beforeLines="0" w:afterLines="0"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主要包括接到文件后，各省级农业农村部门落实文件的主要措施、工作方案、工作机制（包括但不限于行政与事业单位的协调配合、各级涉种单位的协调落实、与企业的协调落实等方面）等情况。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问题及建议</w:t>
      </w:r>
    </w:p>
    <w:p>
      <w:pPr>
        <w:autoSpaceDE/>
        <w:autoSpaceDN/>
        <w:adjustRightInd w:val="0"/>
        <w:snapToGrid w:val="0"/>
        <w:spacing w:beforeLines="0" w:afterLines="0"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各省（区、市）在工作推进过程中存在的困难以及对统计工作的建议等。</w:t>
      </w:r>
    </w:p>
    <w:p>
      <w:pPr>
        <w:autoSpaceDE/>
        <w:autoSpaceDN/>
        <w:adjustRightInd w:val="0"/>
        <w:snapToGrid w:val="0"/>
        <w:spacing w:beforeLines="0" w:afterLines="0"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720" w:num="1"/>
          <w:rtlGutter w:val="0"/>
          <w:docGrid w:type="lines" w:linePitch="595" w:charSpace="0"/>
        </w:sectPr>
      </w:pPr>
    </w:p>
    <w:p>
      <w:pPr>
        <w:adjustRightInd w:val="0"/>
        <w:snapToGrid w:val="0"/>
        <w:spacing w:beforeLines="0" w:afterLines="0" w:line="590" w:lineRule="exact"/>
        <w:ind w:firstLine="0" w:firstLineChars="0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重点企业名录（示例）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outlineLvl w:val="9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填报单位：（印章）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86"/>
        <w:gridCol w:w="1889"/>
        <w:gridCol w:w="730"/>
        <w:gridCol w:w="1242"/>
        <w:gridCol w:w="2446"/>
        <w:gridCol w:w="714"/>
        <w:gridCol w:w="1290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种子销售总额（万元）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商品种子销售总额（万元）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本企业商品种子销售总额（万元）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7513"/>
        </w:tabs>
        <w:snapToGrid w:val="0"/>
        <w:spacing w:line="360" w:lineRule="auto"/>
        <w:ind w:right="2067" w:rightChars="646"/>
        <w:jc w:val="left"/>
        <w:rPr>
          <w:color w:val="000000"/>
          <w:sz w:val="24"/>
          <w:szCs w:val="24"/>
        </w:rPr>
      </w:pP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01"/>
        <w:gridCol w:w="1875"/>
        <w:gridCol w:w="730"/>
        <w:gridCol w:w="1228"/>
        <w:gridCol w:w="2464"/>
        <w:gridCol w:w="714"/>
        <w:gridCol w:w="1276"/>
        <w:gridCol w:w="2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XX作物种子销售总额（万元）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XX作物商品种子销售总额（万元）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XX作物本企业商品种子</w:t>
            </w:r>
          </w:p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销售总额（万元）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40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zh-CN"/>
        </w:rPr>
        <w:sectPr>
          <w:footerReference r:id="rId5" w:type="first"/>
          <w:pgSz w:w="16838" w:h="11906" w:orient="landscape"/>
          <w:pgMar w:top="1531" w:right="1871" w:bottom="1531" w:left="1871" w:header="851" w:footer="1417" w:gutter="0"/>
          <w:pgNumType w:fmt="decimal"/>
          <w:cols w:space="720" w:num="1"/>
          <w:titlePg/>
          <w:rtlGutter w:val="0"/>
          <w:docGrid w:type="lines" w:linePitch="631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292735</wp:posOffset>
                </wp:positionV>
                <wp:extent cx="542290" cy="9296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— 11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55pt;margin-top:23.05pt;height:73.2pt;width:42.7pt;z-index:251659264;mso-width-relative:page;mso-height-relative:page;" filled="f" stroked="f" coordsize="21600,21600" o:gfxdata="UEsDBAoAAAAAAIdO4kAAAAAAAAAAAAAAAAAEAAAAZHJzL1BLAwQUAAAACACHTuJAPqzeTtoAAAAJ&#10;AQAADwAAAGRycy9kb3ducmV2LnhtbE2PwU7DMAyG70i8Q2Qkbl3aaSu0NJ0GEhLiUGmDw45JY9qK&#10;JilJuo09PeYEJ8vyp9/fX23OZmRH9GFwVkC2SIGhbZ0ebCfg/e05uQcWorRajs6igG8MsKmvrypZ&#10;aneyOzzuY8coxIZSCuhjnErOQ9ujkWHhJrR0+3DeyEir77j28kThZuTLNM25kYOlD72c8KnH9nM/&#10;GwEv28P8NftmVVwOl22j1GvzqHIhbm+y9AFYxHP8g+FXn9ShJiflZqsDGwUkRZYRKmCV0yQgWd8B&#10;UwQWyzXwuuL/G9Q/UEsDBBQAAAAIAIdO4kCdngDotAEAAFsDAAAOAAAAZHJzL2Uyb0RvYy54bWyt&#10;U7GOEzEQ7ZH4B8s92WR1nMgqm5NQdDQIkA7oHe84a8n2WLaT3fwA/AEVDT3fle9g7Cw5uGuuuMYe&#10;z4zfzHtjr25Ga9gBQtToWr6YzTkDJ7HTbtfyL59vX73hLCbhOmHQQcuPEPnN+uWL1eAbqLFH00Fg&#10;BOJiM/iW9yn5pqqi7MGKOEMPjoIKgxWJjmFXdUEMhG5NVc/n19WAofMBJcRI3s05yCfE8BRAVEpL&#10;2KDcW3DpjBrAiESUYq995OvSrVIg00elIiRmWk5MU1mpCNnbvFbrlWh2Qfhey6kF8ZQWHnCyQjsq&#10;eoHaiCTYPuhHUFbLgBFVmkm01ZlIUYRYLOYPtLnrhYfChaSO/iJ6fD5Y+eHwKTDd0UvgzAlLAz/9&#10;+H76+fv06xtbZHkGHxvKuvOUl8a3OObUyR/JmVmPKti8Ex9GcRL3eBEXxsQkOV9f1fWSIpJCy3p5&#10;fVXEr+4v+xDTO0DLstHyQLMrkorD+5ioIKX+Tcm1HN5qY8r8jPvPQYnZU+XOzx1mK43bcWp7i92R&#10;2NAnoDogvtLO2d4HvevJUdiVy6R5KTu9jzzUf8+lxP2fW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qzeTtoAAAAJAQAADwAAAAAAAAABACAAAAAiAAAAZHJzL2Rvd25yZXYueG1sUEsBAhQAFAAA&#10;AAgAh07iQJ2eAOi0AQAAWwMAAA4AAAAAAAAAAQAgAAAAKQEAAGRycy9lMm9Eb2MueG1sUEsFBgAA&#10;AAAGAAYAWQEAAE8FAAAAAA==&#10;">
                <v:path/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— 11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24"/>
          <w:szCs w:val="24"/>
          <w:lang w:val="zh-CN"/>
        </w:rPr>
        <w:t>注：请按照企业种子销售总额、商品种子销售总额、本企业商品种子销售总额三项指标分别排序，并分作物分指标进行排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序，总体前10名，分作物前5名。按照玉米、杂交稻、常规稻、小麦、马铃薯、棉花、大豆、油菜、花生、蔬菜等进行排序，可根据辖区企业主营作物分布情况，增减作物类别。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3C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character" w:styleId="5">
    <w:name w:val="page number"/>
    <w:basedOn w:val="4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2024-02-21T02:40:40Z</dcterms:created>
  <dc:creator>wuyin</dc:creator>
  <cp:lastModifiedBy>One</cp:lastModifiedBy>
  <dcterms:modified xsi:type="dcterms:W3CDTF">2024-02-21T02:42:01Z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F527BB5244754458AC2D0B3324F29AF4_12</vt:lpwstr>
  </property>
</Properties>
</file>