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ind w:left="0" w:leftChars="0" w:firstLine="0" w:firstLineChars="0"/>
        <w:jc w:val="both"/>
        <w:rPr>
          <w:rFonts w:hint="eastAsia" w:ascii="黑体" w:hAnsi="黑体" w:eastAsia="黑体" w:cs="黑体"/>
          <w:color w:val="000000"/>
          <w:kern w:val="0"/>
          <w:sz w:val="32"/>
          <w:szCs w:val="32"/>
          <w:lang w:val="en-US" w:eastAsia="zh-CN"/>
        </w:rPr>
      </w:pPr>
      <w:bookmarkStart w:id="0" w:name="_GoBack"/>
      <w:bookmarkEnd w:id="0"/>
      <w:r>
        <w:rPr>
          <w:rFonts w:hint="eastAsia" w:ascii="黑体" w:hAnsi="黑体" w:eastAsia="黑体" w:cs="黑体"/>
          <w:color w:val="000000"/>
          <w:kern w:val="0"/>
          <w:sz w:val="32"/>
          <w:szCs w:val="32"/>
          <w:lang w:val="en-US" w:eastAsia="zh-CN"/>
        </w:rPr>
        <w:t>附件1</w:t>
      </w:r>
    </w:p>
    <w:p>
      <w:pPr>
        <w:pStyle w:val="4"/>
        <w:adjustRightInd w:val="0"/>
        <w:snapToGrid w:val="0"/>
        <w:spacing w:line="590" w:lineRule="exact"/>
        <w:ind w:firstLine="632"/>
        <w:rPr>
          <w:rFonts w:hint="eastAsia" w:ascii="仿宋_GB2312" w:hAnsi="仿宋_GB2312" w:eastAsia="仿宋_GB2312" w:cs="仿宋_GB2312"/>
          <w:kern w:val="0"/>
          <w:sz w:val="32"/>
          <w:szCs w:val="32"/>
          <w:lang w:val="en-US" w:eastAsia="zh-CN"/>
        </w:rPr>
      </w:pPr>
    </w:p>
    <w:p>
      <w:pPr>
        <w:keepNext w:val="0"/>
        <w:keepLines w:val="0"/>
        <w:pageBreakBefore w:val="0"/>
        <w:widowControl w:val="0"/>
        <w:numPr>
          <w:ilvl w:val="0"/>
          <w:numId w:val="0"/>
        </w:numPr>
        <w:tabs>
          <w:tab w:val="left" w:pos="494"/>
          <w:tab w:val="left" w:pos="3570"/>
        </w:tabs>
        <w:kinsoku/>
        <w:wordWrap/>
        <w:overflowPunct/>
        <w:topLinePunct w:val="0"/>
        <w:autoSpaceDE/>
        <w:autoSpaceDN/>
        <w:bidi w:val="0"/>
        <w:adjustRightInd w:val="0"/>
        <w:snapToGrid w:val="0"/>
        <w:spacing w:line="590" w:lineRule="exact"/>
        <w:ind w:leftChars="0" w:right="0" w:right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盐碱地综合利用与改良技术研究与</w:t>
      </w:r>
    </w:p>
    <w:p>
      <w:pPr>
        <w:keepNext w:val="0"/>
        <w:keepLines w:val="0"/>
        <w:pageBreakBefore w:val="0"/>
        <w:widowControl w:val="0"/>
        <w:numPr>
          <w:ilvl w:val="0"/>
          <w:numId w:val="0"/>
        </w:numPr>
        <w:tabs>
          <w:tab w:val="left" w:pos="494"/>
          <w:tab w:val="left" w:pos="3570"/>
        </w:tabs>
        <w:kinsoku/>
        <w:wordWrap/>
        <w:overflowPunct/>
        <w:topLinePunct w:val="0"/>
        <w:autoSpaceDE/>
        <w:autoSpaceDN/>
        <w:bidi w:val="0"/>
        <w:adjustRightInd w:val="0"/>
        <w:snapToGrid w:val="0"/>
        <w:spacing w:line="590" w:lineRule="exact"/>
        <w:ind w:leftChars="0" w:right="0" w:right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示范项目入库申报指南</w:t>
      </w:r>
    </w:p>
    <w:p>
      <w:pPr>
        <w:keepNext w:val="0"/>
        <w:keepLines w:val="0"/>
        <w:pageBreakBefore w:val="0"/>
        <w:widowControl w:val="0"/>
        <w:numPr>
          <w:ilvl w:val="0"/>
          <w:numId w:val="0"/>
        </w:numPr>
        <w:tabs>
          <w:tab w:val="left" w:pos="494"/>
          <w:tab w:val="left" w:pos="3570"/>
        </w:tabs>
        <w:kinsoku/>
        <w:wordWrap/>
        <w:overflowPunct/>
        <w:topLinePunct w:val="0"/>
        <w:autoSpaceDE/>
        <w:autoSpaceDN/>
        <w:bidi w:val="0"/>
        <w:adjustRightInd w:val="0"/>
        <w:snapToGrid w:val="0"/>
        <w:spacing w:line="590" w:lineRule="exact"/>
        <w:ind w:leftChars="0" w:right="0" w:rightChars="0"/>
        <w:jc w:val="both"/>
        <w:textAlignment w:val="auto"/>
        <w:outlineLvl w:val="9"/>
        <w:rPr>
          <w:rFonts w:hint="eastAsia" w:ascii="方正小标宋简体" w:hAnsi="方正小标宋简体" w:eastAsia="方正小标宋简体" w:cs="方正小标宋简体"/>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 xml:space="preserve">总体目标  </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640"/>
        <w:jc w:val="both"/>
        <w:textAlignment w:val="auto"/>
      </w:pPr>
      <w:r>
        <w:rPr>
          <w:rFonts w:hint="eastAsia"/>
        </w:rPr>
        <w:t>盐碱地是我国重要的后备耕地资源，开展盐碱地综合利用对保障国家和</w:t>
      </w:r>
      <w:r>
        <w:rPr>
          <w:rFonts w:hint="eastAsia"/>
          <w:lang w:eastAsia="zh-CN"/>
        </w:rPr>
        <w:t>我</w:t>
      </w:r>
      <w:r>
        <w:rPr>
          <w:rFonts w:hint="eastAsia"/>
        </w:rPr>
        <w:t>省生态安全和粮食安全具有重要战略意义。针对广东省滨海盐碱地和次生盐渍化农田面积大与种植潜力挖掘需求，</w:t>
      </w:r>
      <w:r>
        <w:rPr>
          <w:rFonts w:hint="eastAsia" w:ascii="仿宋_GB2312" w:hAnsi="仿宋_GB2312" w:cs="仿宋_GB2312"/>
          <w:bCs/>
          <w:szCs w:val="32"/>
        </w:rPr>
        <w:t>解决我省耐盐碱作物品种少、产能低</w:t>
      </w:r>
      <w:r>
        <w:rPr>
          <w:rFonts w:hint="eastAsia"/>
        </w:rPr>
        <w:t>等“卡脖子”问题，</w:t>
      </w:r>
      <w:r>
        <w:rPr>
          <w:rFonts w:hint="eastAsia" w:ascii="仿宋_GB2312" w:hAnsi="仿宋_GB2312" w:cs="仿宋_GB2312"/>
          <w:bCs/>
          <w:szCs w:val="32"/>
        </w:rPr>
        <w:t>开展盐碱地适生耐盐且综合利用开发价值较高的特色油料</w:t>
      </w:r>
      <w:r>
        <w:rPr>
          <w:rFonts w:hint="eastAsia"/>
        </w:rPr>
        <w:t>作物、水稻、薯类作物和能源饲草作物</w:t>
      </w:r>
      <w:r>
        <w:rPr>
          <w:rFonts w:hint="eastAsia" w:ascii="仿宋_GB2312" w:hAnsi="仿宋_GB2312" w:cs="仿宋_GB2312"/>
          <w:bCs/>
          <w:szCs w:val="32"/>
        </w:rPr>
        <w:t>品种筛选培育研究，建立高效栽培种植模式、土壤改良与水肥调控配套技术应用与示范。以提高财政资金使用效益为导向，“改土适种”与“以种适地”相结合，开展盐碱地耐盐作物研究，探索“耐盐品种-控盐治碱-培肥扩容-产品深加工”三产融合与多要素协同的盐碱地农业综合利用和产能提升技术模式，促进盐碱地农业科技创新，实现盐碱地综合利用技术成果的有效转化。选择</w:t>
      </w:r>
      <w:r>
        <w:rPr>
          <w:rFonts w:hint="eastAsia"/>
        </w:rPr>
        <w:t>广东省</w:t>
      </w:r>
      <w:r>
        <w:rPr>
          <w:rFonts w:hint="eastAsia" w:ascii="仿宋_GB2312" w:hAnsi="仿宋_GB2312" w:cs="仿宋_GB2312"/>
          <w:bCs/>
          <w:szCs w:val="32"/>
        </w:rPr>
        <w:t>重点盐碱区打造样板示范基地，建立技术集成与应用，</w:t>
      </w:r>
      <w:r>
        <w:rPr>
          <w:rFonts w:hint="eastAsia"/>
        </w:rPr>
        <w:t>提升盐碱地综合利用潜力和地力产能，</w:t>
      </w:r>
      <w:r>
        <w:rPr>
          <w:rFonts w:hint="eastAsia" w:ascii="仿宋_GB2312" w:hAnsi="仿宋_GB2312" w:cs="仿宋_GB2312"/>
          <w:bCs/>
          <w:szCs w:val="32"/>
        </w:rPr>
        <w:t xml:space="preserve">调整与优化种植结构布局，推动绿色产业发展，促进乡村生态振兴。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632"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二、</w:t>
      </w:r>
      <w:r>
        <w:rPr>
          <w:rFonts w:hint="default" w:ascii="黑体" w:hAnsi="黑体" w:eastAsia="黑体" w:cs="黑体"/>
          <w:b w:val="0"/>
          <w:bCs w:val="0"/>
          <w:kern w:val="2"/>
          <w:sz w:val="32"/>
          <w:szCs w:val="32"/>
          <w:lang w:val="en-US" w:eastAsia="zh-CN" w:bidi="ar-SA"/>
        </w:rPr>
        <w:t>建设内容</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20" w:firstLineChars="196"/>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（一）</w:t>
      </w:r>
      <w:r>
        <w:rPr>
          <w:rFonts w:hint="eastAsia" w:ascii="楷体_GB2312" w:hAnsi="楷体_GB2312" w:eastAsia="楷体_GB2312" w:cs="楷体_GB2312"/>
          <w:b w:val="0"/>
          <w:bCs/>
          <w:sz w:val="32"/>
          <w:szCs w:val="32"/>
        </w:rPr>
        <w:t>芦竹高效栽培及其在盐碱地的开发利用与示范</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textAlignment w:val="auto"/>
        <w:outlineLvl w:val="2"/>
        <w:rPr>
          <w:rFonts w:ascii="Times New Roman" w:hAnsi="Times New Roman" w:eastAsia="仿宋_GB2312"/>
          <w:sz w:val="32"/>
        </w:rPr>
      </w:pPr>
      <w:r>
        <w:rPr>
          <w:rFonts w:hint="eastAsia" w:ascii="Times New Roman" w:hAnsi="Times New Roman" w:eastAsia="仿宋_GB2312"/>
          <w:sz w:val="32"/>
        </w:rPr>
        <w:t>根据芦竹根系发达、环境适应能力强的特点，结合广东滨海地区的气候和土壤特点，筛选出耐盐芦竹品种，重点研究耐盐碱芦竹高效栽培技术，评价芦竹对滨海盐土生态环境的治理效果；探索出适合广东滨海盐土的综合利用新方案，创造“高效种植+生态治理”的芦竹新业态，优化广东盐碱地区农业产业结构，推进绿色产业发展。在重度和中度盐碱潮间带与水网区，建设芦竹生态屏障与试验示范基地，进行技术应用与示范。</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20" w:firstLineChars="196"/>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val="en-US" w:eastAsia="zh-CN"/>
        </w:rPr>
        <w:t>（二）</w:t>
      </w:r>
      <w:r>
        <w:rPr>
          <w:rFonts w:hint="eastAsia" w:ascii="楷体_GB2312" w:hAnsi="楷体_GB2312" w:eastAsia="楷体_GB2312" w:cs="楷体_GB2312"/>
          <w:b w:val="0"/>
          <w:bCs/>
          <w:sz w:val="32"/>
          <w:szCs w:val="32"/>
          <w:lang w:eastAsia="zh-CN"/>
        </w:rPr>
        <w:t>耐盐油葵筛选与盐碱地高效种植应用与示范</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640"/>
        <w:textAlignment w:val="auto"/>
        <w:rPr>
          <w:b/>
          <w:bCs/>
        </w:rPr>
      </w:pPr>
      <w:r>
        <w:rPr>
          <w:rFonts w:hint="eastAsia"/>
        </w:rPr>
        <w:t>筛选适生于广东气候与盐碱地特征的耐盐油用向日葵品系或品种，并建立高效种植栽培技术体系，研究“稻-稻-葵” 轮作，“油葵-油菜/绿肥”双油轮套作等技术模式。揭示油葵吸盐耐盐与改土培肥机制，探索盐碱地油葵高效种植与控盐生态改良技术模式，发展盐碱地油料作物特色农业，充分挖掘油葵用途和市场前景。在典型滨海盐碱区建设油葵产业与生态景观试验示范基地，在轻度盐碱农田进行冬种油葵等特色油料作物的技术应用与示范。</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20" w:firstLineChars="196"/>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（三）盐碱地适生大豆选育及其绿色栽培应用示范</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640"/>
        <w:textAlignment w:val="auto"/>
      </w:pPr>
      <w:r>
        <w:rPr>
          <w:rFonts w:hint="eastAsia"/>
        </w:rPr>
        <w:t>针对低、中度滨海盐碱地耐盐碱大豆品种少、配套丰产技术缺乏及高产绿色栽培模式集成不够等问题，根据广东滨海地区的气候和土壤特点，通过种质评价和筛选，培育一批适宜我省滨海盐碱地种植的优质大豆新材料，重点研究耐盐碱大豆水肥资源高效利用技术，结合种植模式创新与栽培技术优化，形成作物适配、丰产栽培、绿色高效的滨海盐碱地大豆绿色栽培模式。在典型滨海盐碱区建设试验示范基地，在中轻度盐碱农田进行大豆的应用与示范。</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20" w:firstLineChars="196"/>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（四）盐碱地薯类作物高效种植模式应用与示范</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640"/>
        <w:textAlignment w:val="auto"/>
      </w:pPr>
      <w:r>
        <w:rPr>
          <w:rFonts w:hint="eastAsia"/>
        </w:rPr>
        <w:t>针对广东省盐碱地土壤利用率低的问题，开展耐盐碱木薯等薯类作物高效生产技术集成研究与示范推广。通过筛选适合广东地区的优质耐盐碱、抗旱、宜机械化生产的薯类优良品系或种质资源，研究攻关薯类高效高产种植技术，加强薯类新产品开发及副产品利用的研究，提高产能产值。在轻度盐碱旱坡地建设耐盐碱木薯等薯类作物示范基地，进行技术应用与集成，辐射带动全省薯类产业及盐碱地的综合利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20" w:firstLineChars="196"/>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（五）耐盐水稻精准设计育种与种植模式应用与示范</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640"/>
        <w:textAlignment w:val="auto"/>
        <w:rPr>
          <w:b w:val="0"/>
          <w:bCs w:val="0"/>
        </w:rPr>
      </w:pPr>
      <w:r>
        <w:rPr>
          <w:rFonts w:hint="eastAsia"/>
          <w:b w:val="0"/>
          <w:bCs w:val="0"/>
        </w:rPr>
        <w:t>针对广东省盐碱地土壤利用率低的问题，开展耐盐水稻精准设计育种及配套高效栽培技术集成研究与应用示范推广。通过培育适合广东地区的优质耐盐、抗倒伏、品质优良、宜机械化生产的耐盐碱水稻优良品系或种质资源，研究攻关耐盐水稻种质资源优异基因挖掘、高效高产栽培技术，加强耐盐水稻新品种（新品系）研发，提高产能产值。在中度盐碱滩涂地地建设耐盐碱水稻标准化生产示范基地，进行技术应用与集成，辐射带动全省耐盐水稻产业发展及盐碱地的综合利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20" w:firstLineChars="196"/>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（六）试验示范基地盐碱调查与治水改土技术试点</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640"/>
        <w:textAlignment w:val="auto"/>
        <w:rPr>
          <w:rFonts w:hint="eastAsia" w:ascii="仿宋_GB2312" w:hAnsi="仿宋_GB2312" w:eastAsia="仿宋_GB2312" w:cs="仿宋_GB2312"/>
        </w:rPr>
      </w:pPr>
      <w:r>
        <w:rPr>
          <w:rFonts w:hint="eastAsia" w:ascii="仿宋_GB2312" w:hAnsi="仿宋_GB2312" w:eastAsia="仿宋_GB2312" w:cs="仿宋_GB2312"/>
        </w:rPr>
        <w:t>选择1个试验与示范基地进行土壤盐碱调查与治水改土技术试点，建立土壤盐碱状况和地力养分条件调查与评价方案，因地施策研究盐碱地农田灌排、土壤改良、增施有机肥等土壤水、肥、盐调控技术，构建洗盐、压盐和排盐等治水改土与土壤培肥等地力提升技术模式，为耐盐作物品种的高效培育、提质增效与技术集成应用提供土壤条件支撑，实现治土适种的目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textAlignment w:val="auto"/>
        <w:outlineLvl w:val="2"/>
        <w:rPr>
          <w:rFonts w:hint="eastAsia" w:ascii="黑体" w:hAnsi="黑体" w:eastAsia="黑体" w:cs="黑体"/>
          <w:b w:val="0"/>
          <w:bCs w:val="0"/>
          <w:sz w:val="32"/>
          <w:szCs w:val="32"/>
        </w:rPr>
      </w:pPr>
      <w:r>
        <w:rPr>
          <w:rFonts w:hint="default" w:ascii="黑体" w:hAnsi="黑体" w:eastAsia="黑体" w:cs="黑体"/>
          <w:b w:val="0"/>
          <w:bCs w:val="0"/>
          <w:sz w:val="32"/>
          <w:szCs w:val="32"/>
          <w:lang w:val="en-US" w:eastAsia="zh-CN"/>
        </w:rPr>
        <w:t>三</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绩效目标</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textAlignment w:val="auto"/>
        <w:outlineLvl w:val="2"/>
        <w:rPr>
          <w:rFonts w:hint="eastAsia" w:ascii="仿宋_GB2312" w:hAnsi="仿宋_GB2312" w:eastAsia="仿宋_GB2312" w:cs="仿宋_GB2312"/>
          <w:sz w:val="32"/>
        </w:rPr>
      </w:pPr>
      <w:r>
        <w:rPr>
          <w:rFonts w:hint="eastAsia" w:ascii="仿宋_GB2312" w:hAnsi="仿宋_GB2312" w:eastAsia="仿宋_GB2312" w:cs="仿宋_GB2312"/>
          <w:sz w:val="32"/>
        </w:rPr>
        <w:t>筛选适生于广东省盐碱地的芦竹、油葵、水稻、大豆和薯类品系或品种5-8个</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建立耐盐作物高效栽培、水肥资源高效利用、盐碱地土壤改良等技术模式5-6套</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制订盐碱地作物高效种植技术体系规程5-6项，申请专利2-3项</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在江门、湛江、阳江、珠海等重点盐碱区建设试验示范基地4个，在全省示范与推广面积达1000亩以上</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每个品种、每个示范基地面积不小于200亩</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现场示范演示会6-10场，培训人员1000人次。</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textAlignment w:val="auto"/>
        <w:outlineLvl w:val="2"/>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申报对象及条件</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640"/>
        <w:textAlignment w:val="auto"/>
      </w:pPr>
      <w:r>
        <w:rPr>
          <w:rFonts w:hint="eastAsia"/>
          <w:lang w:eastAsia="zh-CN"/>
        </w:rPr>
        <w:t>（一）</w:t>
      </w:r>
      <w:r>
        <w:rPr>
          <w:rFonts w:hint="eastAsia"/>
        </w:rPr>
        <w:t>申报对象为广东省内具有独立法人资格的省级及以上科研机构、高等院校等事业单位，</w:t>
      </w:r>
      <w:r>
        <w:rPr>
          <w:rFonts w:hint="eastAsia"/>
          <w:lang w:eastAsia="zh-CN"/>
        </w:rPr>
        <w:t>需承担完成所有建设内容和绩效目标。</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640"/>
        <w:textAlignment w:val="auto"/>
      </w:pPr>
      <w:r>
        <w:rPr>
          <w:rFonts w:hint="eastAsia"/>
          <w:lang w:eastAsia="zh-CN"/>
        </w:rPr>
        <w:t>（二）</w:t>
      </w:r>
      <w:r>
        <w:rPr>
          <w:rFonts w:hint="eastAsia"/>
        </w:rPr>
        <w:t>申报对象具有较完善的项目和财务管理制度，信用记录良好。</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640"/>
        <w:textAlignment w:val="auto"/>
        <w:rPr>
          <w:rFonts w:hint="eastAsia"/>
        </w:rPr>
      </w:pPr>
      <w:r>
        <w:rPr>
          <w:rFonts w:hint="eastAsia"/>
          <w:lang w:eastAsia="zh-CN"/>
        </w:rPr>
        <w:t>（三）</w:t>
      </w:r>
      <w:r>
        <w:rPr>
          <w:rFonts w:hint="eastAsia"/>
        </w:rPr>
        <w:t>申报对象在盐碱地综合利用研究方面具有扎实的工作基础，具有较好的科技平台条件和人才条件。</w:t>
      </w:r>
    </w:p>
    <w:p>
      <w:pPr>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632"/>
        <w:textAlignment w:val="auto"/>
        <w:outlineLvl w:val="2"/>
        <w:rPr>
          <w:rFonts w:hint="eastAsia" w:ascii="黑体" w:hAnsi="黑体" w:eastAsia="黑体" w:cs="黑体"/>
          <w:szCs w:val="32"/>
          <w:lang w:val="en-US"/>
        </w:rPr>
      </w:pPr>
      <w:r>
        <w:rPr>
          <w:rFonts w:hint="eastAsia" w:ascii="黑体" w:hAnsi="黑体" w:eastAsia="黑体" w:cs="黑体"/>
          <w:szCs w:val="32"/>
          <w:lang w:val="en-US"/>
        </w:rPr>
        <w:t>五、资金用途</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640"/>
        <w:textAlignment w:val="auto"/>
      </w:pPr>
      <w:r>
        <w:rPr>
          <w:lang w:val="en-US"/>
        </w:rPr>
        <w:t>项目资金主要用于耐盐碱种质资源的创制，栽培种植，土壤改良与水肥调控关键技术与装备研发，专利申请、论文发表等知识产权，产业调研、技术交流，技术应用等方面的设备及实验耗材购置，测试化验及分析，燃料动力运行，差旅费等相关费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textAlignment w:val="auto"/>
        <w:outlineLvl w:val="2"/>
        <w:rPr>
          <w:rFonts w:hint="eastAsia" w:ascii="黑体" w:hAnsi="黑体" w:eastAsia="黑体" w:cs="黑体"/>
          <w:b w:val="0"/>
          <w:bCs w:val="0"/>
          <w:sz w:val="32"/>
        </w:rPr>
      </w:pPr>
      <w:r>
        <w:rPr>
          <w:rFonts w:hint="default" w:ascii="黑体" w:hAnsi="黑体" w:eastAsia="黑体" w:cs="黑体"/>
          <w:b w:val="0"/>
          <w:bCs w:val="0"/>
          <w:sz w:val="32"/>
          <w:lang w:val="en-US" w:eastAsia="zh-CN"/>
        </w:rPr>
        <w:t>六</w:t>
      </w:r>
      <w:r>
        <w:rPr>
          <w:rFonts w:hint="eastAsia" w:ascii="黑体" w:hAnsi="黑体" w:eastAsia="黑体" w:cs="黑体"/>
          <w:b w:val="0"/>
          <w:bCs w:val="0"/>
          <w:sz w:val="32"/>
          <w:lang w:eastAsia="zh-CN"/>
        </w:rPr>
        <w:t>、</w:t>
      </w:r>
      <w:r>
        <w:rPr>
          <w:rFonts w:hint="eastAsia" w:ascii="黑体" w:hAnsi="黑体" w:eastAsia="黑体" w:cs="黑体"/>
          <w:b w:val="0"/>
          <w:bCs w:val="0"/>
          <w:sz w:val="32"/>
        </w:rPr>
        <w:t>补助资金标准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textAlignment w:val="auto"/>
        <w:rPr>
          <w:rFonts w:hint="eastAsia" w:ascii="仿宋_GB2312" w:hAnsi="仿宋_GB2312" w:eastAsia="仿宋_GB2312" w:cs="仿宋_GB2312"/>
          <w:sz w:val="32"/>
          <w:lang w:val="zh-CN"/>
        </w:rPr>
      </w:pPr>
      <w:r>
        <w:rPr>
          <w:rFonts w:hint="eastAsia" w:ascii="仿宋_GB2312" w:hAnsi="仿宋_GB2312" w:eastAsia="仿宋_GB2312" w:cs="仿宋_GB2312"/>
          <w:sz w:val="32"/>
          <w:lang w:val="zh-CN"/>
        </w:rPr>
        <w:t>项目资金额度不超过</w:t>
      </w:r>
      <w:r>
        <w:rPr>
          <w:rFonts w:hint="eastAsia" w:ascii="仿宋_GB2312" w:hAnsi="仿宋_GB2312" w:eastAsia="仿宋_GB2312" w:cs="仿宋_GB2312"/>
          <w:sz w:val="32"/>
        </w:rPr>
        <w:t>800</w:t>
      </w:r>
      <w:r>
        <w:rPr>
          <w:rFonts w:hint="eastAsia" w:ascii="仿宋_GB2312" w:hAnsi="仿宋_GB2312" w:eastAsia="仿宋_GB2312" w:cs="仿宋_GB2312"/>
          <w:sz w:val="32"/>
          <w:lang w:val="zh-CN"/>
        </w:rPr>
        <w:t>万元。</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textAlignment w:val="auto"/>
        <w:outlineLvl w:val="2"/>
        <w:rPr>
          <w:rFonts w:hint="eastAsia" w:ascii="黑体" w:hAnsi="黑体" w:eastAsia="黑体" w:cs="黑体"/>
          <w:b w:val="0"/>
          <w:bCs w:val="0"/>
          <w:sz w:val="32"/>
          <w:lang w:eastAsia="zh-CN"/>
        </w:rPr>
      </w:pPr>
      <w:r>
        <w:rPr>
          <w:rFonts w:hint="default" w:ascii="黑体" w:hAnsi="黑体" w:eastAsia="黑体" w:cs="黑体"/>
          <w:b w:val="0"/>
          <w:bCs w:val="0"/>
          <w:sz w:val="32"/>
          <w:lang w:val="en-US" w:eastAsia="zh-CN"/>
        </w:rPr>
        <w:t>七</w:t>
      </w:r>
      <w:r>
        <w:rPr>
          <w:rFonts w:hint="eastAsia" w:ascii="黑体" w:hAnsi="黑体" w:eastAsia="黑体" w:cs="黑体"/>
          <w:b w:val="0"/>
          <w:bCs w:val="0"/>
          <w:sz w:val="32"/>
          <w:lang w:eastAsia="zh-CN"/>
        </w:rPr>
        <w:t>、申报材料要求</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08" w:firstLineChars="200"/>
        <w:textAlignment w:val="auto"/>
      </w:pPr>
      <w:r>
        <w:rPr>
          <w:rFonts w:hint="eastAsia" w:ascii="仿宋_GB2312" w:hAnsi="仿宋_GB2312" w:eastAsia="仿宋_GB2312" w:cs="仿宋_GB2312"/>
          <w:spacing w:val="-6"/>
          <w:kern w:val="0"/>
          <w:sz w:val="32"/>
          <w:szCs w:val="32"/>
        </w:rPr>
        <w:t>请使用第9类《农业科研类及技术推广示范类项目申报书模板》。</w:t>
      </w:r>
    </w:p>
    <w:p>
      <w:pPr>
        <w:keepNext w:val="0"/>
        <w:keepLines w:val="0"/>
        <w:pageBreakBefore w:val="0"/>
        <w:widowControl w:val="0"/>
        <w:numPr>
          <w:ilvl w:val="0"/>
          <w:numId w:val="0"/>
        </w:numPr>
        <w:tabs>
          <w:tab w:val="left" w:pos="494"/>
          <w:tab w:val="left" w:pos="3570"/>
        </w:tabs>
        <w:kinsoku/>
        <w:wordWrap/>
        <w:overflowPunct/>
        <w:topLinePunct w:val="0"/>
        <w:autoSpaceDE/>
        <w:autoSpaceDN/>
        <w:bidi w:val="0"/>
        <w:adjustRightInd w:val="0"/>
        <w:snapToGrid w:val="0"/>
        <w:spacing w:line="590" w:lineRule="exact"/>
        <w:ind w:leftChars="0" w:right="0" w:right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rPr>
        <w:sectPr>
          <w:footerReference r:id="rId3" w:type="default"/>
          <w:pgSz w:w="11906" w:h="16838"/>
          <w:pgMar w:top="1871" w:right="1531" w:bottom="1871" w:left="1531" w:header="851" w:footer="1418" w:gutter="0"/>
          <w:cols w:space="720" w:num="1"/>
          <w:titlePg/>
          <w:docGrid w:type="linesAndChars" w:linePitch="590" w:charSpace="-1024"/>
        </w:sectPr>
      </w:pPr>
    </w:p>
    <w:p>
      <w:pPr>
        <w:keepNext w:val="0"/>
        <w:keepLines w:val="0"/>
        <w:pageBreakBefore w:val="0"/>
        <w:widowControl w:val="0"/>
        <w:kinsoku/>
        <w:wordWrap/>
        <w:overflowPunct/>
        <w:topLinePunct w:val="0"/>
        <w:autoSpaceDE/>
        <w:autoSpaceDN/>
        <w:bidi w:val="0"/>
        <w:adjustRightInd w:val="0"/>
        <w:snapToGrid w:val="0"/>
        <w:spacing w:beforeLines="0" w:afterLines="0" w:line="470" w:lineRule="exact"/>
        <w:ind w:left="0" w:leftChars="0" w:right="0" w:rightChars="0" w:firstLine="0" w:firstLineChars="0"/>
        <w:textAlignment w:val="auto"/>
        <w:rPr>
          <w:rFonts w:hint="default" w:ascii="黑体" w:hAnsi="黑体" w:eastAsia="黑体" w:cs="黑体"/>
          <w:bCs/>
          <w:color w:val="auto"/>
          <w:szCs w:val="32"/>
          <w:lang w:val="en-US" w:eastAsia="zh-CN"/>
        </w:rPr>
      </w:pPr>
      <w:r>
        <w:rPr>
          <w:rFonts w:hint="eastAsia" w:ascii="黑体" w:hAnsi="黑体" w:eastAsia="黑体" w:cs="黑体"/>
          <w:bCs/>
          <w:color w:val="auto"/>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beforeLines="0" w:afterLines="0" w:line="470" w:lineRule="exact"/>
        <w:ind w:left="0" w:leftChars="0" w:right="0" w:rightChars="0" w:firstLine="0" w:firstLineChars="0"/>
        <w:textAlignment w:val="auto"/>
        <w:rPr>
          <w:rFonts w:hint="eastAsia" w:ascii="黑体" w:hAnsi="黑体" w:eastAsia="黑体" w:cs="黑体"/>
          <w:bCs/>
          <w:color w:val="auto"/>
          <w:szCs w:val="32"/>
          <w:lang w:val="en-US" w:eastAsia="zh-CN"/>
        </w:rPr>
      </w:pPr>
    </w:p>
    <w:p>
      <w:pPr>
        <w:pStyle w:val="3"/>
        <w:keepNext w:val="0"/>
        <w:keepLines w:val="0"/>
        <w:adjustRightInd w:val="0"/>
        <w:snapToGrid w:val="0"/>
        <w:spacing w:before="0" w:beforeLines="0" w:after="0" w:afterLines="0" w:line="590" w:lineRule="exact"/>
        <w:ind w:firstLine="640"/>
        <w:jc w:val="center"/>
        <w:rPr>
          <w:rFonts w:hint="eastAsia" w:ascii="方正小标宋简体" w:hAnsi="方正小标宋简体" w:eastAsia="方正小标宋简体" w:cs="方正小标宋简体"/>
          <w:b w:val="0"/>
          <w:bCs w:val="0"/>
          <w:i w:val="0"/>
          <w:color w:val="000000"/>
          <w:kern w:val="0"/>
          <w:sz w:val="44"/>
          <w:szCs w:val="44"/>
          <w:u w:val="none"/>
          <w:lang w:val="en-US" w:eastAsia="zh-CN"/>
        </w:rPr>
      </w:pPr>
      <w:r>
        <w:rPr>
          <w:rFonts w:hint="eastAsia" w:ascii="方正小标宋简体" w:hAnsi="方正小标宋简体" w:eastAsia="方正小标宋简体" w:cs="方正小标宋简体"/>
          <w:b w:val="0"/>
          <w:bCs w:val="0"/>
          <w:i w:val="0"/>
          <w:color w:val="000000"/>
          <w:kern w:val="0"/>
          <w:sz w:val="44"/>
          <w:szCs w:val="44"/>
          <w:u w:val="none"/>
          <w:lang w:val="en-US" w:eastAsia="zh-CN"/>
        </w:rPr>
        <w:t>2024年乡村振兴战略专项资金省级项目</w:t>
      </w:r>
    </w:p>
    <w:p>
      <w:pPr>
        <w:pStyle w:val="3"/>
        <w:keepNext w:val="0"/>
        <w:keepLines w:val="0"/>
        <w:adjustRightInd w:val="0"/>
        <w:snapToGrid w:val="0"/>
        <w:spacing w:before="0" w:beforeLines="0" w:after="0" w:afterLines="0" w:line="590" w:lineRule="exact"/>
        <w:ind w:firstLine="640"/>
        <w:jc w:val="center"/>
        <w:rPr>
          <w:rFonts w:hint="eastAsia" w:ascii="方正小标宋简体" w:hAnsi="方正小标宋简体" w:eastAsia="方正小标宋简体" w:cs="方正小标宋简体"/>
          <w:b w:val="0"/>
          <w:bCs w:val="0"/>
          <w:i w:val="0"/>
          <w:color w:val="000000"/>
          <w:kern w:val="0"/>
          <w:sz w:val="44"/>
          <w:szCs w:val="44"/>
          <w:u w:val="none"/>
          <w:lang w:val="en-US" w:eastAsia="zh-CN"/>
        </w:rPr>
      </w:pPr>
      <w:r>
        <w:rPr>
          <w:rFonts w:hint="eastAsia" w:ascii="方正小标宋简体" w:hAnsi="方正小标宋简体" w:eastAsia="方正小标宋简体" w:cs="方正小标宋简体"/>
          <w:b w:val="0"/>
          <w:bCs w:val="0"/>
          <w:i w:val="0"/>
          <w:color w:val="000000"/>
          <w:kern w:val="0"/>
          <w:sz w:val="44"/>
          <w:szCs w:val="44"/>
          <w:u w:val="none"/>
          <w:lang w:val="en-US" w:eastAsia="zh-CN"/>
        </w:rPr>
        <w:t>（第四批）入库申报汇总表</w:t>
      </w:r>
    </w:p>
    <w:p>
      <w:pPr>
        <w:pStyle w:val="3"/>
        <w:keepNext w:val="0"/>
        <w:keepLines w:val="0"/>
        <w:adjustRightInd w:val="0"/>
        <w:snapToGrid w:val="0"/>
        <w:spacing w:before="0" w:beforeLines="0" w:after="0" w:afterLines="0" w:line="590" w:lineRule="exact"/>
        <w:ind w:firstLine="0"/>
        <w:jc w:val="both"/>
        <w:rPr>
          <w:rFonts w:hint="eastAsia" w:ascii="方正小标宋简体" w:hAnsi="方正小标宋简体" w:eastAsia="方正小标宋简体" w:cs="方正小标宋简体"/>
          <w:b w:val="0"/>
          <w:bCs w:val="0"/>
          <w:i w:val="0"/>
          <w:color w:val="000000"/>
          <w:kern w:val="0"/>
          <w:sz w:val="32"/>
          <w:szCs w:val="32"/>
          <w:u w:val="none"/>
          <w:lang w:val="en-US" w:eastAsia="zh-CN"/>
        </w:rPr>
      </w:pPr>
    </w:p>
    <w:p>
      <w:pPr>
        <w:pStyle w:val="3"/>
        <w:keepNext w:val="0"/>
        <w:keepLines w:val="0"/>
        <w:adjustRightInd w:val="0"/>
        <w:snapToGrid w:val="0"/>
        <w:spacing w:before="0" w:beforeLines="0" w:after="0" w:afterLines="0" w:line="590" w:lineRule="exact"/>
        <w:ind w:firstLine="440" w:firstLineChars="200"/>
        <w:jc w:val="left"/>
        <w:rPr>
          <w:rFonts w:hint="eastAsia" w:ascii="方正小标宋简体" w:hAnsi="方正小标宋简体" w:eastAsia="方正小标宋简体" w:cs="方正小标宋简体"/>
          <w:b w:val="0"/>
          <w:bCs w:val="0"/>
          <w:color w:val="000000"/>
          <w:kern w:val="0"/>
          <w:sz w:val="22"/>
          <w:szCs w:val="22"/>
        </w:rPr>
      </w:pPr>
      <w:r>
        <w:rPr>
          <w:rFonts w:hint="eastAsia" w:ascii="仿宋_GB2312" w:hAnsi="宋体" w:eastAsia="仿宋_GB2312" w:cs="仿宋_GB2312"/>
          <w:b w:val="0"/>
          <w:bCs w:val="0"/>
          <w:i w:val="0"/>
          <w:color w:val="000000"/>
          <w:kern w:val="0"/>
          <w:sz w:val="22"/>
          <w:szCs w:val="22"/>
          <w:u w:val="none"/>
          <w:lang w:val="en-US" w:eastAsia="zh-CN"/>
        </w:rPr>
        <w:t>项目申报单位（省直单位）：</w:t>
      </w:r>
    </w:p>
    <w:tbl>
      <w:tblPr>
        <w:tblStyle w:val="9"/>
        <w:tblW w:w="13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0"/>
        <w:gridCol w:w="1289"/>
        <w:gridCol w:w="1589"/>
        <w:gridCol w:w="1965"/>
        <w:gridCol w:w="1734"/>
        <w:gridCol w:w="2288"/>
        <w:gridCol w:w="2123"/>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9" w:hRule="atLeast"/>
          <w:tblHeader/>
          <w:jc w:val="center"/>
        </w:trPr>
        <w:tc>
          <w:tcPr>
            <w:tcW w:w="890" w:type="dxa"/>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rPr>
              <w:t>类别</w:t>
            </w:r>
          </w:p>
        </w:tc>
        <w:tc>
          <w:tcPr>
            <w:tcW w:w="1289" w:type="dxa"/>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rPr>
              <w:t>资金方向</w:t>
            </w:r>
          </w:p>
        </w:tc>
        <w:tc>
          <w:tcPr>
            <w:tcW w:w="1589" w:type="dxa"/>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rPr>
              <w:t>扶持项目类型</w:t>
            </w:r>
          </w:p>
        </w:tc>
        <w:tc>
          <w:tcPr>
            <w:tcW w:w="1965" w:type="dxa"/>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rPr>
              <w:t>项目名称</w:t>
            </w:r>
          </w:p>
        </w:tc>
        <w:tc>
          <w:tcPr>
            <w:tcW w:w="1734" w:type="dxa"/>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rPr>
              <w:t>项目承担单位</w:t>
            </w:r>
          </w:p>
        </w:tc>
        <w:tc>
          <w:tcPr>
            <w:tcW w:w="2288" w:type="dxa"/>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rPr>
            </w:pPr>
            <w:r>
              <w:rPr>
                <w:rFonts w:hint="eastAsia" w:ascii="黑体" w:hAnsi="黑体" w:eastAsia="黑体" w:cs="黑体"/>
                <w:i w:val="0"/>
                <w:color w:val="000000"/>
                <w:kern w:val="0"/>
                <w:sz w:val="20"/>
                <w:szCs w:val="20"/>
                <w:u w:val="none"/>
                <w:lang w:val="en-US" w:eastAsia="zh-CN"/>
              </w:rPr>
              <w:t>建设内容</w:t>
            </w:r>
          </w:p>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rPr>
              <w:t>（限100字以内）</w:t>
            </w:r>
          </w:p>
        </w:tc>
        <w:tc>
          <w:tcPr>
            <w:tcW w:w="2123" w:type="dxa"/>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rPr>
            </w:pPr>
            <w:r>
              <w:rPr>
                <w:rFonts w:hint="eastAsia" w:ascii="黑体" w:hAnsi="黑体" w:eastAsia="黑体" w:cs="黑体"/>
                <w:i w:val="0"/>
                <w:color w:val="000000"/>
                <w:kern w:val="0"/>
                <w:sz w:val="20"/>
                <w:szCs w:val="20"/>
                <w:u w:val="none"/>
                <w:lang w:val="en-US" w:eastAsia="zh-CN"/>
              </w:rPr>
              <w:t>绩效目标</w:t>
            </w:r>
          </w:p>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rPr>
              <w:t>（限100字以内）</w:t>
            </w:r>
          </w:p>
        </w:tc>
        <w:tc>
          <w:tcPr>
            <w:tcW w:w="1217" w:type="dxa"/>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rPr>
            </w:pPr>
            <w:r>
              <w:rPr>
                <w:rFonts w:hint="eastAsia" w:ascii="黑体" w:hAnsi="黑体" w:eastAsia="黑体" w:cs="黑体"/>
                <w:i w:val="0"/>
                <w:color w:val="000000"/>
                <w:kern w:val="0"/>
                <w:sz w:val="20"/>
                <w:szCs w:val="20"/>
                <w:u w:val="none"/>
                <w:lang w:val="en-US" w:eastAsia="zh-CN"/>
              </w:rPr>
              <w:t>申请金额</w:t>
            </w:r>
          </w:p>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rPr>
            </w:pPr>
            <w:r>
              <w:rPr>
                <w:rFonts w:hint="eastAsia" w:ascii="黑体" w:hAnsi="黑体" w:eastAsia="黑体" w:cs="黑体"/>
                <w:i w:val="0"/>
                <w:color w:val="000000"/>
                <w:kern w:val="0"/>
                <w:sz w:val="20"/>
                <w:szCs w:val="20"/>
                <w:u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4" w:hRule="atLeast"/>
          <w:jc w:val="center"/>
        </w:trPr>
        <w:tc>
          <w:tcPr>
            <w:tcW w:w="890" w:type="dxa"/>
            <w:noWrap w:val="0"/>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color w:val="000000"/>
                <w:kern w:val="0"/>
                <w:sz w:val="20"/>
                <w:u w:val="none"/>
              </w:rPr>
              <w:t>2024年乡村振兴战略专项资金省级项目（第</w:t>
            </w:r>
            <w:r>
              <w:rPr>
                <w:rFonts w:hint="eastAsia" w:ascii="仿宋_GB2312" w:hAnsi="仿宋_GB2312" w:eastAsia="仿宋_GB2312" w:cs="仿宋_GB2312"/>
                <w:color w:val="000000"/>
                <w:kern w:val="0"/>
                <w:sz w:val="20"/>
                <w:u w:val="none"/>
                <w:lang w:eastAsia="zh-CN"/>
              </w:rPr>
              <w:t>四</w:t>
            </w:r>
            <w:r>
              <w:rPr>
                <w:rFonts w:hint="eastAsia" w:ascii="仿宋_GB2312" w:hAnsi="仿宋_GB2312" w:eastAsia="仿宋_GB2312" w:cs="仿宋_GB2312"/>
                <w:color w:val="000000"/>
                <w:kern w:val="0"/>
                <w:sz w:val="20"/>
                <w:u w:val="none"/>
              </w:rPr>
              <w:t>批）</w:t>
            </w:r>
          </w:p>
        </w:tc>
        <w:tc>
          <w:tcPr>
            <w:tcW w:w="1289" w:type="dxa"/>
            <w:noWrap w:val="0"/>
            <w:vAlign w:val="center"/>
          </w:tcPr>
          <w:p>
            <w:pPr>
              <w:keepNext w:val="0"/>
              <w:keepLines w:val="0"/>
              <w:widowControl/>
              <w:numPr>
                <w:ilvl w:val="0"/>
                <w:numId w:val="0"/>
              </w:numPr>
              <w:suppressLineNumbers w:val="0"/>
              <w:spacing w:beforeLines="0" w:afterLines="0" w:line="320" w:lineRule="exact"/>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color w:val="000000"/>
                <w:kern w:val="0"/>
                <w:sz w:val="20"/>
                <w:u w:val="none"/>
                <w:lang w:val="en-US" w:eastAsia="zh-CN"/>
              </w:rPr>
              <w:t>盐碱地综合利用与改良技术研究与示范项目</w:t>
            </w:r>
          </w:p>
        </w:tc>
        <w:tc>
          <w:tcPr>
            <w:tcW w:w="158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20" w:lineRule="exact"/>
              <w:ind w:leftChars="0" w:right="0" w:rightChars="0"/>
              <w:jc w:val="left"/>
              <w:textAlignment w:val="center"/>
              <w:outlineLvl w:val="9"/>
              <w:rPr>
                <w:rFonts w:hint="eastAsia" w:ascii="仿宋_GB2312" w:hAnsi="仿宋_GB2312" w:eastAsia="仿宋_GB2312" w:cs="仿宋_GB2312"/>
                <w:color w:val="000000"/>
                <w:kern w:val="0"/>
                <w:sz w:val="20"/>
                <w:u w:val="none"/>
                <w:lang w:val="en-US" w:eastAsia="zh-CN"/>
              </w:rPr>
            </w:pPr>
            <w:r>
              <w:rPr>
                <w:rFonts w:hint="eastAsia" w:ascii="仿宋_GB2312" w:hAnsi="仿宋_GB2312" w:eastAsia="仿宋_GB2312" w:cs="仿宋_GB2312"/>
                <w:color w:val="000000"/>
                <w:kern w:val="0"/>
                <w:sz w:val="20"/>
                <w:u w:val="none"/>
                <w:lang w:val="en-US" w:eastAsia="zh-CN"/>
              </w:rPr>
              <w:t>盐碱地综合利用与改良技术研究与示范项目</w:t>
            </w:r>
          </w:p>
          <w:p>
            <w:pPr>
              <w:keepNext w:val="0"/>
              <w:keepLines w:val="0"/>
              <w:widowControl/>
              <w:suppressLineNumbers w:val="0"/>
              <w:spacing w:beforeLines="0" w:afterLines="0" w:line="320" w:lineRule="exact"/>
              <w:jc w:val="left"/>
              <w:textAlignment w:val="center"/>
              <w:rPr>
                <w:rFonts w:hint="eastAsia" w:ascii="仿宋_GB2312" w:hAnsi="仿宋_GB2312" w:eastAsia="仿宋_GB2312" w:cs="仿宋_GB2312"/>
                <w:i w:val="0"/>
                <w:color w:val="000000"/>
                <w:kern w:val="0"/>
                <w:sz w:val="20"/>
                <w:szCs w:val="20"/>
                <w:u w:val="none"/>
                <w:lang w:val="en-US" w:eastAsia="zh-CN"/>
              </w:rPr>
            </w:pPr>
          </w:p>
        </w:tc>
        <w:tc>
          <w:tcPr>
            <w:tcW w:w="1965" w:type="dxa"/>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rPr>
            </w:pPr>
          </w:p>
        </w:tc>
        <w:tc>
          <w:tcPr>
            <w:tcW w:w="1734" w:type="dxa"/>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rPr>
            </w:pPr>
          </w:p>
        </w:tc>
        <w:tc>
          <w:tcPr>
            <w:tcW w:w="2288" w:type="dxa"/>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rPr>
            </w:pPr>
          </w:p>
        </w:tc>
        <w:tc>
          <w:tcPr>
            <w:tcW w:w="2123" w:type="dxa"/>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rPr>
            </w:pPr>
          </w:p>
        </w:tc>
        <w:tc>
          <w:tcPr>
            <w:tcW w:w="1217" w:type="dxa"/>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rPr>
            </w:pPr>
          </w:p>
        </w:tc>
      </w:tr>
    </w:tbl>
    <w:p>
      <w:pPr>
        <w:pStyle w:val="11"/>
        <w:widowControl w:val="0"/>
        <w:adjustRightInd w:val="0"/>
        <w:snapToGrid w:val="0"/>
        <w:spacing w:line="590" w:lineRule="exact"/>
        <w:ind w:left="0" w:leftChars="0" w:right="0" w:rightChars="0" w:firstLine="0" w:firstLineChars="0"/>
        <w:rPr>
          <w:rFonts w:hint="eastAsia" w:ascii="仿宋_GB2312" w:hAnsi="仿宋_GB2312" w:eastAsia="仿宋_GB2312" w:cs="仿宋_GB2312"/>
          <w:snapToGrid w:val="0"/>
          <w:kern w:val="0"/>
          <w:szCs w:val="32"/>
          <w:lang w:eastAsia="zh-CN"/>
        </w:rPr>
      </w:pPr>
    </w:p>
    <w:p>
      <w:pPr>
        <w:pStyle w:val="11"/>
        <w:ind w:left="0" w:leftChars="0" w:right="44" w:rightChars="0" w:firstLine="0" w:firstLineChars="0"/>
        <w:rPr>
          <w:rFonts w:hint="eastAsia" w:eastAsia="仿宋_GB2312"/>
          <w:snapToGrid w:val="0"/>
          <w:kern w:val="0"/>
          <w:lang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简">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32"/>
        </w:tabs>
        <w:ind w:left="432" w:hanging="432"/>
      </w:pPr>
      <w:rPr>
        <w:rFonts w:hint="eastAsia"/>
      </w:rPr>
    </w:lvl>
    <w:lvl w:ilvl="1" w:tentative="0">
      <w:start w:val="1"/>
      <w:numFmt w:val="decimal"/>
      <w:lvlText w:val="%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b/>
      </w:rPr>
    </w:lvl>
    <w:lvl w:ilvl="3" w:tentative="0">
      <w:start w:val="1"/>
      <w:numFmt w:val="decimal"/>
      <w:pStyle w:val="2"/>
      <w:lvlText w:val="%1.%2.%3.%4"/>
      <w:lvlJc w:val="left"/>
      <w:pPr>
        <w:tabs>
          <w:tab w:val="left" w:pos="864"/>
        </w:tabs>
        <w:ind w:left="864" w:hanging="864"/>
      </w:pPr>
      <w:rPr>
        <w:rFonts w:hint="eastAsia"/>
        <w:b w:val="0"/>
        <w:i w: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010B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3"/>
    <w:basedOn w:val="1"/>
    <w:next w:val="1"/>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2">
    <w:name w:val="heading 4"/>
    <w:basedOn w:val="1"/>
    <w:next w:val="1"/>
    <w:qFormat/>
    <w:uiPriority w:val="0"/>
    <w:pPr>
      <w:keepNext/>
      <w:keepLines/>
      <w:numPr>
        <w:ilvl w:val="3"/>
        <w:numId w:val="1"/>
      </w:numPr>
      <w:tabs>
        <w:tab w:val="clear" w:pos="864"/>
      </w:tabs>
      <w:outlineLvl w:val="3"/>
    </w:pPr>
    <w:rPr>
      <w:rFonts w:ascii="Arial" w:hAnsi="Arial" w:eastAsia="宋体-简" w:cs="Times New Roman"/>
      <w:sz w:val="21"/>
      <w:szCs w:val="24"/>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eastAsia="宋体" w:cs="Calibri"/>
    </w:rPr>
  </w:style>
  <w:style w:type="paragraph" w:styleId="5">
    <w:name w:val="annotation text"/>
    <w:basedOn w:val="1"/>
    <w:uiPriority w:val="0"/>
    <w:pPr>
      <w:jc w:val="left"/>
    </w:p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6"/>
    <w:qFormat/>
    <w:uiPriority w:val="0"/>
    <w:pPr>
      <w:ind w:firstLine="420" w:firstLineChars="200"/>
    </w:pPr>
    <w:rPr>
      <w:rFonts w:ascii="Times New Roman" w:hAnsi="Times New Roman" w:eastAsia="仿宋_GB2312"/>
      <w:sz w:val="32"/>
    </w:rPr>
  </w:style>
  <w:style w:type="paragraph" w:customStyle="1" w:styleId="11">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2023-12-06T09:08:52Z</dcterms:created>
  <dc:creator>wuyin</dc:creator>
  <cp:lastModifiedBy>One</cp:lastModifiedBy>
  <dcterms:modified xsi:type="dcterms:W3CDTF">2023-12-06T09:09:13Z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1D473F49D69B4DFDABF3A203B088B461_12</vt:lpwstr>
  </property>
</Properties>
</file>