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beforeLines="0" w:after="0" w:line="590" w:lineRule="exact"/>
        <w:ind w:firstLine="0" w:firstLineChars="0"/>
        <w:jc w:val="both"/>
        <w:textAlignment w:val="auto"/>
        <w:rPr>
          <w:rFonts w:hint="eastAsia" w:ascii="黑体" w:hAnsi="黑体" w:eastAsia="黑体" w:cs="黑体"/>
          <w:b w:val="0"/>
          <w:snapToGrid w:val="0"/>
          <w:color w:val="auto"/>
          <w:spacing w:val="0"/>
          <w:kern w:val="0"/>
          <w:sz w:val="32"/>
          <w:szCs w:val="32"/>
          <w:highlight w:val="none"/>
          <w:lang w:val="en-US" w:eastAsia="zh-CN" w:bidi="ar-SA"/>
        </w:rPr>
      </w:pPr>
      <w:r>
        <w:rPr>
          <w:rFonts w:hint="eastAsia" w:ascii="黑体" w:hAnsi="黑体" w:eastAsia="黑体" w:cs="黑体"/>
          <w:b w:val="0"/>
          <w:snapToGrid w:val="0"/>
          <w:color w:val="auto"/>
          <w:spacing w:val="0"/>
          <w:kern w:val="0"/>
          <w:sz w:val="32"/>
          <w:szCs w:val="32"/>
          <w:highlight w:val="none"/>
          <w:lang w:val="en-US" w:eastAsia="zh-CN" w:bidi="ar-SA"/>
        </w:rPr>
        <w:t>附件</w:t>
      </w:r>
    </w:p>
    <w:p>
      <w:pPr>
        <w:keepNext w:val="0"/>
        <w:keepLines w:val="0"/>
        <w:pageBreakBefore w:val="0"/>
        <w:widowControl w:val="0"/>
        <w:kinsoku/>
        <w:wordWrap/>
        <w:overflowPunct/>
        <w:topLinePunct w:val="0"/>
        <w:autoSpaceDE/>
        <w:autoSpaceDN/>
        <w:bidi w:val="0"/>
        <w:adjustRightInd w:val="0"/>
        <w:snapToGrid w:val="0"/>
        <w:spacing w:before="0" w:beforeLines="0" w:after="0" w:line="590" w:lineRule="exact"/>
        <w:ind w:firstLine="640" w:firstLineChars="200"/>
        <w:jc w:val="both"/>
        <w:textAlignment w:val="auto"/>
        <w:rPr>
          <w:rFonts w:hint="eastAsia" w:ascii="仿宋_GB2312" w:hAnsi="仿宋_GB2312" w:eastAsia="仿宋_GB2312" w:cs="仿宋_GB2312"/>
          <w:b w:val="0"/>
          <w:snapToGrid w:val="0"/>
          <w:color w:val="auto"/>
          <w:spacing w:val="0"/>
          <w:kern w:val="0"/>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90" w:lineRule="exact"/>
        <w:ind w:firstLine="0" w:firstLineChars="0"/>
        <w:jc w:val="center"/>
        <w:textAlignment w:val="baseline"/>
        <w:rPr>
          <w:rFonts w:hint="eastAsia" w:ascii="方正小标宋简体" w:hAnsi="方正小标宋简体" w:eastAsia="方正小标宋简体" w:cs="方正小标宋简体"/>
          <w:snapToGrid w:val="0"/>
          <w:color w:val="auto"/>
          <w:spacing w:val="0"/>
          <w:kern w:val="0"/>
          <w:sz w:val="44"/>
          <w:szCs w:val="44"/>
          <w:highlight w:val="none"/>
          <w:lang w:val="en-US" w:eastAsia="zh-CN"/>
        </w:rPr>
      </w:pPr>
      <w:r>
        <w:rPr>
          <w:rFonts w:hint="eastAsia" w:ascii="方正小标宋简体" w:hAnsi="方正小标宋简体" w:eastAsia="方正小标宋简体" w:cs="方正小标宋简体"/>
          <w:snapToGrid w:val="0"/>
          <w:color w:val="auto"/>
          <w:spacing w:val="0"/>
          <w:kern w:val="0"/>
          <w:sz w:val="44"/>
          <w:szCs w:val="44"/>
          <w:highlight w:val="none"/>
          <w:lang w:val="en-US" w:eastAsia="zh-CN"/>
        </w:rPr>
        <w:t>第六届广东省农产品质量安全检测技能竞赛暨第二届广东省农产品食品检验员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90" w:lineRule="exact"/>
        <w:ind w:firstLine="0" w:firstLineChars="0"/>
        <w:jc w:val="center"/>
        <w:textAlignment w:val="baseline"/>
        <w:rPr>
          <w:rFonts w:hint="eastAsia" w:ascii="方正小标宋简体" w:hAnsi="方正小标宋简体" w:eastAsia="方正小标宋简体" w:cs="方正小标宋简体"/>
          <w:snapToGrid w:val="0"/>
          <w:color w:val="auto"/>
          <w:spacing w:val="0"/>
          <w:kern w:val="0"/>
          <w:sz w:val="44"/>
          <w:szCs w:val="44"/>
          <w:highlight w:val="none"/>
          <w:lang w:val="en-US" w:eastAsia="zh-CN"/>
        </w:rPr>
      </w:pPr>
      <w:r>
        <w:rPr>
          <w:rFonts w:hint="eastAsia" w:ascii="方正小标宋简体" w:hAnsi="方正小标宋简体" w:eastAsia="方正小标宋简体" w:cs="方正小标宋简体"/>
          <w:snapToGrid w:val="0"/>
          <w:color w:val="auto"/>
          <w:spacing w:val="0"/>
          <w:kern w:val="0"/>
          <w:sz w:val="44"/>
          <w:szCs w:val="44"/>
          <w:highlight w:val="none"/>
          <w:lang w:val="en-US" w:eastAsia="zh-CN"/>
        </w:rPr>
        <w:t>技能竞赛获奖名单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9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90" w:lineRule="exact"/>
        <w:ind w:firstLine="640" w:firstLineChars="200"/>
        <w:jc w:val="both"/>
        <w:textAlignment w:val="baseline"/>
        <w:rPr>
          <w:rFonts w:hint="eastAsia" w:ascii="黑体" w:hAnsi="黑体" w:eastAsia="黑体" w:cs="黑体"/>
          <w:snapToGrid w:val="0"/>
          <w:color w:val="auto"/>
          <w:spacing w:val="0"/>
          <w:kern w:val="0"/>
          <w:sz w:val="32"/>
          <w:szCs w:val="32"/>
          <w:highlight w:val="none"/>
          <w:lang w:val="en-US" w:eastAsia="zh-CN"/>
        </w:rPr>
      </w:pPr>
      <w:r>
        <w:rPr>
          <w:rFonts w:hint="eastAsia" w:ascii="黑体" w:hAnsi="黑体" w:eastAsia="黑体" w:cs="黑体"/>
          <w:snapToGrid w:val="0"/>
          <w:color w:val="auto"/>
          <w:spacing w:val="0"/>
          <w:kern w:val="0"/>
          <w:sz w:val="32"/>
          <w:szCs w:val="32"/>
          <w:highlight w:val="none"/>
          <w:lang w:val="en-US" w:eastAsia="zh-CN"/>
        </w:rPr>
        <w:t>一、团体奖项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8"/>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restart"/>
            <w:vAlign w:val="center"/>
          </w:tcPr>
          <w:p>
            <w:pPr>
              <w:pStyle w:val="2"/>
              <w:keepNext w:val="0"/>
              <w:keepLines w:val="0"/>
              <w:pageBreakBefore w:val="0"/>
              <w:widowControl w:val="0"/>
              <w:numPr>
                <w:ilvl w:val="0"/>
                <w:numId w:val="0"/>
              </w:numPr>
              <w:suppressLineNumbers w:val="0"/>
              <w:tabs>
                <w:tab w:val="left" w:pos="477"/>
                <w:tab w:val="center" w:pos="747"/>
              </w:tabs>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一等奖</w:t>
            </w:r>
          </w:p>
        </w:tc>
        <w:tc>
          <w:tcPr>
            <w:tcW w:w="5771" w:type="dxa"/>
            <w:vAlign w:val="center"/>
          </w:tcPr>
          <w:p>
            <w:pPr>
              <w:keepNext w:val="0"/>
              <w:keepLines w:val="0"/>
              <w:pageBreakBefore w:val="0"/>
              <w:widowControl w:val="0"/>
              <w:kinsoku/>
              <w:wordWrap/>
              <w:overflowPunct/>
              <w:topLinePunct w:val="0"/>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kern w:val="0"/>
                <w:sz w:val="30"/>
                <w:szCs w:val="30"/>
                <w:lang w:val="en-US" w:eastAsia="zh-CN"/>
              </w:rPr>
              <w:t>广州</w:t>
            </w:r>
            <w:r>
              <w:rPr>
                <w:rFonts w:hint="eastAsia" w:ascii="仿宋_GB2312" w:hAnsi="仿宋_GB2312" w:eastAsia="仿宋_GB2312" w:cs="仿宋_GB2312"/>
                <w:color w:val="auto"/>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rPr>
              <w:t>深圳</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rPr>
              <w:t>佛山</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r>
              <w:rPr>
                <w:rFonts w:hint="eastAsia" w:ascii="仿宋_GB2312" w:hAnsi="仿宋_GB2312" w:eastAsia="仿宋_GB2312" w:cs="仿宋_GB2312"/>
                <w:snapToGrid w:val="0"/>
                <w:color w:val="auto"/>
                <w:spacing w:val="0"/>
                <w:kern w:val="0"/>
                <w:sz w:val="30"/>
                <w:szCs w:val="30"/>
                <w:highlight w:val="none"/>
                <w:vertAlign w:val="baseline"/>
                <w:lang w:val="en-US" w:eastAsia="zh-CN"/>
              </w:rPr>
              <w:t>二等奖</w:t>
            </w:r>
          </w:p>
        </w:tc>
        <w:tc>
          <w:tcPr>
            <w:tcW w:w="5771" w:type="dxa"/>
            <w:vAlign w:val="center"/>
          </w:tcPr>
          <w:p>
            <w:pPr>
              <w:keepNext w:val="0"/>
              <w:keepLines w:val="0"/>
              <w:pageBreakBefore w:val="0"/>
              <w:widowControl w:val="0"/>
              <w:kinsoku/>
              <w:wordWrap/>
              <w:overflowPunct/>
              <w:topLinePunct w:val="0"/>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bidi="ar-SA"/>
              </w:rPr>
              <w:t>珠海市代表队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rPr>
              <w:t>江门</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rPr>
              <w:t>中山</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keepNext w:val="0"/>
              <w:keepLines w:val="0"/>
              <w:pageBreakBefore w:val="0"/>
              <w:kinsoku/>
              <w:wordWrap/>
              <w:overflowPunct/>
              <w:topLinePunct w:val="0"/>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rPr>
              <w:t>东莞</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r>
              <w:rPr>
                <w:rFonts w:hint="eastAsia" w:ascii="仿宋_GB2312" w:hAnsi="仿宋_GB2312" w:eastAsia="仿宋_GB2312" w:cs="仿宋_GB2312"/>
                <w:snapToGrid w:val="0"/>
                <w:color w:val="auto"/>
                <w:spacing w:val="0"/>
                <w:kern w:val="0"/>
                <w:sz w:val="30"/>
                <w:szCs w:val="30"/>
                <w:highlight w:val="none"/>
                <w:vertAlign w:val="baseline"/>
                <w:lang w:val="en-US" w:eastAsia="zh-CN"/>
              </w:rPr>
              <w:t>三等奖</w:t>
            </w:r>
          </w:p>
        </w:tc>
        <w:tc>
          <w:tcPr>
            <w:tcW w:w="5771" w:type="dxa"/>
            <w:vAlign w:val="center"/>
          </w:tcPr>
          <w:p>
            <w:pPr>
              <w:keepNext w:val="0"/>
              <w:keepLines w:val="0"/>
              <w:pageBreakBefore w:val="0"/>
              <w:kinsoku/>
              <w:wordWrap/>
              <w:overflowPunct/>
              <w:topLinePunct w:val="0"/>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rPr>
              <w:t>惠州</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rPr>
              <w:t>肇庆</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rPr>
              <w:t>云浮</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rPr>
              <w:t>汕头</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color w:val="auto"/>
                <w:spacing w:val="0"/>
                <w:kern w:val="0"/>
                <w:sz w:val="30"/>
                <w:szCs w:val="30"/>
                <w:lang w:val="en-US" w:eastAsia="zh-CN"/>
              </w:rPr>
              <w:t>湛江</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r>
              <w:rPr>
                <w:rFonts w:hint="eastAsia" w:ascii="仿宋_GB2312" w:hAnsi="仿宋_GB2312" w:eastAsia="仿宋_GB2312" w:cs="仿宋_GB2312"/>
                <w:color w:val="auto"/>
                <w:spacing w:val="0"/>
                <w:kern w:val="0"/>
                <w:sz w:val="30"/>
                <w:szCs w:val="30"/>
              </w:rPr>
              <w:t>团体优秀组织奖</w:t>
            </w: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韶关</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梅州</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茂名</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潮州</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清远</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河源</w:t>
            </w:r>
            <w:r>
              <w:rPr>
                <w:rFonts w:hint="eastAsia" w:ascii="仿宋_GB2312" w:hAnsi="仿宋_GB2312" w:eastAsia="仿宋_GB2312" w:cs="仿宋_GB2312"/>
                <w:color w:val="auto"/>
                <w:spacing w:val="0"/>
                <w:kern w:val="0"/>
                <w:sz w:val="30"/>
                <w:szCs w:val="30"/>
              </w:rPr>
              <w:t>市代表队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8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snapToGrid w:val="0"/>
                <w:color w:val="auto"/>
                <w:spacing w:val="0"/>
                <w:kern w:val="0"/>
                <w:sz w:val="30"/>
                <w:szCs w:val="30"/>
                <w:highlight w:val="none"/>
                <w:vertAlign w:val="baseline"/>
                <w:lang w:val="en-US" w:eastAsia="zh-CN"/>
              </w:rPr>
            </w:pPr>
          </w:p>
        </w:tc>
        <w:tc>
          <w:tcPr>
            <w:tcW w:w="5771" w:type="dxa"/>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阳江</w:t>
            </w:r>
            <w:r>
              <w:rPr>
                <w:rFonts w:hint="eastAsia" w:ascii="仿宋_GB2312" w:hAnsi="仿宋_GB2312" w:eastAsia="仿宋_GB2312" w:cs="仿宋_GB2312"/>
                <w:color w:val="auto"/>
                <w:spacing w:val="0"/>
                <w:kern w:val="0"/>
                <w:sz w:val="30"/>
                <w:szCs w:val="30"/>
              </w:rPr>
              <w:t>市代表队</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90" w:lineRule="exact"/>
        <w:ind w:firstLine="640" w:firstLineChars="200"/>
        <w:jc w:val="both"/>
        <w:textAlignment w:val="baseline"/>
        <w:rPr>
          <w:rFonts w:hint="eastAsia" w:ascii="黑体" w:hAnsi="黑体" w:eastAsia="黑体" w:cs="黑体"/>
          <w:snapToGrid w:val="0"/>
          <w:color w:val="auto"/>
          <w:spacing w:val="0"/>
          <w:kern w:val="0"/>
          <w:sz w:val="32"/>
          <w:szCs w:val="32"/>
          <w:highlight w:val="none"/>
          <w:lang w:val="en-US" w:eastAsia="zh-CN"/>
        </w:rPr>
      </w:pPr>
      <w:r>
        <w:rPr>
          <w:rFonts w:hint="eastAsia" w:ascii="黑体" w:hAnsi="黑体" w:eastAsia="黑体" w:cs="黑体"/>
          <w:snapToGrid w:val="0"/>
          <w:color w:val="auto"/>
          <w:spacing w:val="0"/>
          <w:kern w:val="0"/>
          <w:sz w:val="32"/>
          <w:szCs w:val="32"/>
          <w:highlight w:val="none"/>
          <w:lang w:val="en-US" w:eastAsia="zh-CN" w:bidi="ar-SA"/>
        </w:rPr>
        <w:t>二、个人奖项（个人综合前五名）</w:t>
      </w:r>
    </w:p>
    <w:tbl>
      <w:tblPr>
        <w:tblStyle w:val="4"/>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24"/>
        <w:gridCol w:w="1921"/>
        <w:gridCol w:w="57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第一名</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何健安</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东莞市农产品质量安全监督检测所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第二名</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马文琪</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广州市农产品质量安全监督所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第三名</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孙月雯</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佛山市禅城区农产品质量安全</w:t>
            </w:r>
          </w:p>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监督检测中心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第四名</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肖飞</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广州市农产品质量安全监督所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第五名</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陈亮</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珠海市动物疫病预防控制中心</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90" w:lineRule="exact"/>
        <w:ind w:firstLine="640" w:firstLineChars="200"/>
        <w:jc w:val="both"/>
        <w:textAlignment w:val="baseline"/>
        <w:rPr>
          <w:rFonts w:hint="eastAsia" w:ascii="仿宋_GB2312" w:hAnsi="仿宋_GB2312" w:eastAsia="仿宋_GB2312" w:cs="仿宋_GB2312"/>
          <w:snapToGrid w:val="0"/>
          <w:color w:val="auto"/>
          <w:spacing w:val="0"/>
          <w:kern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90" w:lineRule="exact"/>
        <w:ind w:firstLine="640" w:firstLineChars="200"/>
        <w:jc w:val="both"/>
        <w:textAlignment w:val="baseline"/>
        <w:rPr>
          <w:rFonts w:hint="eastAsia" w:ascii="黑体" w:hAnsi="黑体" w:eastAsia="黑体" w:cs="黑体"/>
          <w:snapToGrid w:val="0"/>
          <w:color w:val="auto"/>
          <w:spacing w:val="0"/>
          <w:kern w:val="0"/>
          <w:sz w:val="32"/>
          <w:szCs w:val="32"/>
          <w:highlight w:val="none"/>
          <w:lang w:val="en-US" w:eastAsia="zh-CN" w:bidi="ar-SA"/>
        </w:rPr>
      </w:pPr>
      <w:r>
        <w:rPr>
          <w:rFonts w:hint="eastAsia" w:ascii="黑体" w:hAnsi="黑体" w:eastAsia="黑体" w:cs="黑体"/>
          <w:snapToGrid w:val="0"/>
          <w:color w:val="auto"/>
          <w:spacing w:val="0"/>
          <w:kern w:val="0"/>
          <w:sz w:val="32"/>
          <w:szCs w:val="32"/>
          <w:highlight w:val="none"/>
          <w:lang w:val="en-US" w:eastAsia="zh-CN" w:bidi="ar-SA"/>
        </w:rPr>
        <w:t>三、个人奖项（种植组）</w:t>
      </w:r>
    </w:p>
    <w:tbl>
      <w:tblPr>
        <w:tblStyle w:val="4"/>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24"/>
        <w:gridCol w:w="1921"/>
        <w:gridCol w:w="57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restart"/>
            <w:tcBorders>
              <w:top w:val="single" w:color="auto" w:sz="4" w:space="0"/>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一等奖</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孙月雯</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佛山市禅城区农产品质量安全</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监督检测中心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张晓鸿</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深圳市质量安全检验检测研究院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restart"/>
            <w:tcBorders>
              <w:top w:val="single" w:color="auto" w:sz="4" w:space="0"/>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二等奖</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袁培锐</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肇庆市农产品质量监督检验测试中心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吴彩云</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广州市农产品质量安全监督所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刘碧莲</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深圳市质量安全检验检测研究院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陈健航</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东莞市农产品质量安全监督检测所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restart"/>
            <w:tcBorders>
              <w:top w:val="single" w:color="auto" w:sz="4" w:space="0"/>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三等奖</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卢慧娟</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广州市增城区农产品推广与</w:t>
            </w:r>
          </w:p>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质量安全监督所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梁贝瑜</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佛山市高明区农业技术服务推广中心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谭淑铧</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中山市农产品质量安全检验所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盛灵芝</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大亚湾开发区农产品质量安全</w:t>
            </w:r>
          </w:p>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监督检测中心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郑乐涛</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鹤山市农产品质量监督检验测试中心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汤乐金</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东莞市农产品质量安全监督检测所</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90" w:lineRule="exact"/>
        <w:ind w:firstLine="640" w:firstLineChars="200"/>
        <w:jc w:val="both"/>
        <w:textAlignment w:val="baseline"/>
        <w:rPr>
          <w:rFonts w:hint="eastAsia" w:ascii="黑体" w:hAnsi="黑体" w:eastAsia="黑体" w:cs="黑体"/>
          <w:snapToGrid w:val="0"/>
          <w:color w:val="auto"/>
          <w:spacing w:val="0"/>
          <w:kern w:val="0"/>
          <w:sz w:val="32"/>
          <w:szCs w:val="32"/>
          <w:highlight w:val="none"/>
          <w:lang w:val="en-US" w:eastAsia="zh-CN"/>
        </w:rPr>
      </w:pPr>
      <w:r>
        <w:rPr>
          <w:rFonts w:hint="eastAsia" w:ascii="黑体" w:hAnsi="黑体" w:eastAsia="黑体" w:cs="黑体"/>
          <w:snapToGrid w:val="0"/>
          <w:color w:val="auto"/>
          <w:spacing w:val="0"/>
          <w:kern w:val="0"/>
          <w:sz w:val="32"/>
          <w:szCs w:val="32"/>
          <w:highlight w:val="none"/>
          <w:lang w:val="en-US" w:eastAsia="zh-CN" w:bidi="ar-SA"/>
        </w:rPr>
        <w:t>四、个人奖项（畜禽组）</w:t>
      </w:r>
    </w:p>
    <w:tbl>
      <w:tblPr>
        <w:tblStyle w:val="4"/>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24"/>
        <w:gridCol w:w="1921"/>
        <w:gridCol w:w="57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restart"/>
            <w:tcBorders>
              <w:top w:val="single" w:color="auto" w:sz="4" w:space="0"/>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一等奖</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何健安</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东莞市农产品质量安全监督检测所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肖飞</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广州市农产品质量安全监督所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restart"/>
            <w:tcBorders>
              <w:top w:val="single" w:color="auto" w:sz="4" w:space="0"/>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二等奖</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蔡春燕</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江门市农业环境监测站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何玉榆</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深圳市质量安全检验检测研究院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丁燕玲</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深圳市质量安全检验检测研究院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吴云普</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惠州市惠城区农产品质量安全中心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restart"/>
            <w:tcBorders>
              <w:top w:val="single" w:color="auto" w:sz="4" w:space="0"/>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三等奖</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高素婷</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佛山市南海区农业执法监察大队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李嘉玲</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珠海市金湾区动物疫病预防控制中心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冯东仪</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中山市三乡镇农产品检验检测站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叶旭标</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东莞市农产品质量安全监督检测所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齐敏</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广州市动物卫生监督所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谭子晴</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云浮市农产品质量安全和动物疫病</w:t>
            </w:r>
          </w:p>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预防控制中心</w:t>
            </w:r>
          </w:p>
        </w:tc>
      </w:tr>
    </w:tbl>
    <w:p>
      <w:pPr>
        <w:adjustRightInd w:val="0"/>
        <w:snapToGrid w:val="0"/>
        <w:spacing w:beforeLines="0" w:line="590" w:lineRule="exact"/>
        <w:ind w:firstLine="640" w:firstLineChars="200"/>
        <w:rPr>
          <w:rFonts w:hint="eastAsia" w:ascii="仿宋_GB2312" w:hAnsi="仿宋_GB2312" w:eastAsia="仿宋_GB2312" w:cs="仿宋_GB2312"/>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90" w:lineRule="exact"/>
        <w:ind w:firstLine="640" w:firstLineChars="200"/>
        <w:jc w:val="both"/>
        <w:textAlignment w:val="baseline"/>
        <w:rPr>
          <w:rFonts w:hint="eastAsia" w:ascii="黑体" w:hAnsi="黑体" w:eastAsia="黑体" w:cs="黑体"/>
          <w:snapToGrid w:val="0"/>
          <w:color w:val="auto"/>
          <w:spacing w:val="0"/>
          <w:kern w:val="0"/>
          <w:sz w:val="32"/>
          <w:szCs w:val="32"/>
          <w:highlight w:val="none"/>
          <w:lang w:val="en-US" w:eastAsia="zh-CN"/>
        </w:rPr>
      </w:pPr>
      <w:r>
        <w:rPr>
          <w:rFonts w:hint="eastAsia" w:ascii="黑体" w:hAnsi="黑体" w:eastAsia="黑体" w:cs="黑体"/>
          <w:snapToGrid w:val="0"/>
          <w:color w:val="auto"/>
          <w:spacing w:val="0"/>
          <w:kern w:val="0"/>
          <w:sz w:val="32"/>
          <w:szCs w:val="32"/>
          <w:highlight w:val="none"/>
          <w:lang w:val="en-US" w:eastAsia="zh-CN" w:bidi="ar-SA"/>
        </w:rPr>
        <w:t>五、个人奖项（水产组）</w:t>
      </w:r>
    </w:p>
    <w:tbl>
      <w:tblPr>
        <w:tblStyle w:val="4"/>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24"/>
        <w:gridCol w:w="1921"/>
        <w:gridCol w:w="57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restart"/>
            <w:tcBorders>
              <w:top w:val="single" w:color="auto" w:sz="4" w:space="0"/>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一等奖</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马文琪</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广州市农产品质量安全监督所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陈亮</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珠海市动物疫病预防控制中心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restart"/>
            <w:tcBorders>
              <w:top w:val="single" w:color="auto" w:sz="4" w:space="0"/>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二等奖</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胡晓荣</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江门市农产品质量监督检验测试中心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伍梅</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佛山市农产品质量安全监督检测中心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朱颖</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深圳市质量安全检验检测研究院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赵天珍</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中山市农产品质量安全检验所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restart"/>
            <w:tcBorders>
              <w:top w:val="single" w:color="auto" w:sz="4" w:space="0"/>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三等奖</w:t>
            </w: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孙连立</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湛江市农产品质量安全中心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林保银</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广州市农产品质量安全监督所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欧阳燕</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深圳市质量安全检验检测研究院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何洁怡</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佛山市南海区农业农村局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陈绍波</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云浮市农产品质量安全和动物疫病</w:t>
            </w:r>
          </w:p>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预防控制中心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jc w:val="center"/>
        </w:trPr>
        <w:tc>
          <w:tcPr>
            <w:tcW w:w="786" w:type="pct"/>
            <w:vMerge w:val="continue"/>
            <w:tcBorders>
              <w:left w:val="single" w:color="auto" w:sz="4" w:space="0"/>
              <w:bottom w:val="single" w:color="auto" w:sz="4" w:space="0"/>
              <w:right w:val="single" w:color="auto" w:sz="4" w:space="0"/>
              <w:tl2br w:val="nil"/>
              <w:tr2bl w:val="nil"/>
            </w:tcBorders>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Lines="0" w:beforeAutospacing="0" w:after="0" w:afterAutospacing="0" w:line="240" w:lineRule="auto"/>
              <w:ind w:left="0" w:leftChars="0"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p>
        </w:tc>
        <w:tc>
          <w:tcPr>
            <w:tcW w:w="1060"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0"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林泳诗</w:t>
            </w:r>
          </w:p>
        </w:tc>
        <w:tc>
          <w:tcPr>
            <w:tcW w:w="3152" w:type="pct"/>
            <w:tcBorders>
              <w:top w:val="single" w:color="auto" w:sz="4" w:space="0"/>
              <w:left w:val="single" w:color="auto" w:sz="4" w:space="0"/>
              <w:bottom w:val="single" w:color="auto" w:sz="4" w:space="0"/>
              <w:right w:val="single" w:color="auto" w:sz="4" w:space="0"/>
              <w:tl2br w:val="nil"/>
              <w:tr2bl w:val="nil"/>
            </w:tcBorders>
            <w:vAlign w:val="center"/>
          </w:tcPr>
          <w:p>
            <w:pPr>
              <w:pStyle w:val="7"/>
              <w:keepNext w:val="0"/>
              <w:keepLines w:val="0"/>
              <w:pageBreakBefore w:val="0"/>
              <w:widowControl w:val="0"/>
              <w:kinsoku/>
              <w:wordWrap/>
              <w:overflowPunct/>
              <w:topLinePunct w:val="0"/>
              <w:autoSpaceDE/>
              <w:autoSpaceDN/>
              <w:bidi w:val="0"/>
              <w:adjustRightInd w:val="0"/>
              <w:snapToGrid w:val="0"/>
              <w:spacing w:beforeLines="0" w:line="240" w:lineRule="auto"/>
              <w:ind w:firstLine="0" w:firstLineChars="0"/>
              <w:jc w:val="center"/>
              <w:textAlignment w:val="auto"/>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珠海市动物疫病预防控制中心</w:t>
            </w:r>
          </w:p>
        </w:tc>
      </w:tr>
    </w:tbl>
    <w:p>
      <w:pPr>
        <w:adjustRightInd w:val="0"/>
        <w:snapToGrid w:val="0"/>
        <w:spacing w:beforeLines="0" w:line="568" w:lineRule="exact"/>
        <w:ind w:firstLine="640" w:firstLineChars="200"/>
        <w:rPr>
          <w:rFonts w:hint="eastAsia" w:ascii="仿宋_GB2312" w:hAnsi="仿宋_GB2312" w:eastAsia="仿宋_GB2312" w:cs="仿宋_GB2312"/>
          <w:color w:val="auto"/>
          <w:kern w:val="0"/>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568" w:lineRule="exact"/>
        <w:ind w:firstLine="640" w:firstLineChars="200"/>
        <w:jc w:val="both"/>
        <w:textAlignment w:val="baseline"/>
        <w:rPr>
          <w:rFonts w:hint="eastAsia" w:ascii="黑体" w:hAnsi="黑体" w:eastAsia="黑体" w:cs="黑体"/>
          <w:snapToGrid w:val="0"/>
          <w:color w:val="auto"/>
          <w:spacing w:val="0"/>
          <w:kern w:val="0"/>
          <w:sz w:val="32"/>
          <w:szCs w:val="32"/>
          <w:highlight w:val="none"/>
          <w:lang w:val="en-US" w:eastAsia="zh-CN" w:bidi="ar-SA"/>
        </w:rPr>
      </w:pPr>
      <w:r>
        <w:rPr>
          <w:rFonts w:hint="eastAsia" w:ascii="黑体" w:hAnsi="黑体" w:eastAsia="黑体" w:cs="黑体"/>
          <w:snapToGrid w:val="0"/>
          <w:color w:val="auto"/>
          <w:spacing w:val="0"/>
          <w:kern w:val="0"/>
          <w:sz w:val="32"/>
          <w:szCs w:val="32"/>
          <w:highlight w:val="none"/>
          <w:lang w:val="en-US" w:eastAsia="zh-CN" w:bidi="ar-SA"/>
        </w:rPr>
        <w:t>六、突出贡献奖(单位)</w:t>
      </w:r>
    </w:p>
    <w:p>
      <w:pPr>
        <w:widowControl w:val="0"/>
        <w:numPr>
          <w:ilvl w:val="0"/>
          <w:numId w:val="0"/>
        </w:numPr>
        <w:kinsoku/>
        <w:autoSpaceDE/>
        <w:autoSpaceDN/>
        <w:adjustRightInd w:val="0"/>
        <w:snapToGrid w:val="0"/>
        <w:spacing w:before="0" w:beforeLines="0" w:line="568" w:lineRule="exact"/>
        <w:ind w:firstLine="600" w:firstLineChars="200"/>
        <w:textAlignment w:val="baseline"/>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农业农村部农产品及加工品质量监督检验测试中心（广州）</w:t>
      </w:r>
    </w:p>
    <w:p>
      <w:pPr>
        <w:widowControl w:val="0"/>
        <w:numPr>
          <w:ilvl w:val="0"/>
          <w:numId w:val="0"/>
        </w:numPr>
        <w:kinsoku/>
        <w:autoSpaceDE/>
        <w:autoSpaceDN/>
        <w:adjustRightInd w:val="0"/>
        <w:snapToGrid w:val="0"/>
        <w:spacing w:before="0" w:beforeLines="0" w:line="568" w:lineRule="exact"/>
        <w:ind w:firstLine="600" w:firstLineChars="200"/>
        <w:textAlignment w:val="baseline"/>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农业农村部畜禽产品质量监督检验测试中心（广州）</w:t>
      </w:r>
    </w:p>
    <w:p>
      <w:pPr>
        <w:widowControl w:val="0"/>
        <w:numPr>
          <w:ilvl w:val="0"/>
          <w:numId w:val="0"/>
        </w:numPr>
        <w:kinsoku/>
        <w:autoSpaceDE/>
        <w:autoSpaceDN/>
        <w:adjustRightInd w:val="0"/>
        <w:snapToGrid w:val="0"/>
        <w:spacing w:before="0" w:beforeLines="0" w:line="568" w:lineRule="exact"/>
        <w:ind w:firstLine="600" w:firstLineChars="200"/>
        <w:textAlignment w:val="baseline"/>
        <w:rPr>
          <w:rFonts w:hint="eastAsia" w:ascii="仿宋_GB2312" w:hAnsi="仿宋_GB2312" w:eastAsia="仿宋_GB2312" w:cs="仿宋_GB2312"/>
          <w:b w:val="0"/>
          <w:bCs w:val="0"/>
          <w:i w:val="0"/>
          <w:iCs w:val="0"/>
          <w:color w:val="auto"/>
          <w:w w:val="100"/>
          <w:kern w:val="0"/>
          <w:sz w:val="30"/>
          <w:szCs w:val="30"/>
          <w:u w:val="none"/>
          <w:lang w:val="en-US" w:eastAsia="zh-CN" w:bidi="ar-SA"/>
        </w:rPr>
      </w:pPr>
      <w:r>
        <w:rPr>
          <w:rFonts w:hint="eastAsia" w:ascii="仿宋_GB2312" w:hAnsi="仿宋_GB2312" w:eastAsia="仿宋_GB2312" w:cs="仿宋_GB2312"/>
          <w:b w:val="0"/>
          <w:bCs w:val="0"/>
          <w:i w:val="0"/>
          <w:iCs w:val="0"/>
          <w:color w:val="auto"/>
          <w:w w:val="100"/>
          <w:kern w:val="0"/>
          <w:sz w:val="30"/>
          <w:szCs w:val="30"/>
          <w:u w:val="none"/>
          <w:lang w:val="en-US" w:eastAsia="zh-CN" w:bidi="ar-SA"/>
        </w:rPr>
        <w:t>农业农村部渔业环境及水产品质量监督检验测试中心（广州）</w:t>
      </w:r>
    </w:p>
    <w:p>
      <w:pPr>
        <w:widowControl w:val="0"/>
        <w:numPr>
          <w:ilvl w:val="0"/>
          <w:numId w:val="0"/>
        </w:numPr>
        <w:kinsoku/>
        <w:autoSpaceDE/>
        <w:autoSpaceDN/>
        <w:adjustRightInd w:val="0"/>
        <w:snapToGrid w:val="0"/>
        <w:spacing w:before="0" w:beforeLines="0" w:line="568" w:lineRule="exact"/>
        <w:ind w:firstLine="600" w:firstLineChars="200"/>
        <w:textAlignment w:val="baseline"/>
        <w:rPr>
          <w:rFonts w:hint="eastAsia" w:ascii="仿宋_GB2312" w:hAnsi="仿宋_GB2312" w:eastAsia="仿宋_GB2312" w:cs="仿宋_GB2312"/>
          <w:b w:val="0"/>
          <w:bCs w:val="0"/>
          <w:snapToGrid/>
          <w:color w:val="auto"/>
          <w:spacing w:val="0"/>
          <w:kern w:val="0"/>
          <w:sz w:val="30"/>
          <w:szCs w:val="30"/>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line="568" w:lineRule="exact"/>
        <w:ind w:firstLine="640" w:firstLineChars="200"/>
        <w:jc w:val="both"/>
        <w:textAlignment w:val="baseline"/>
        <w:rPr>
          <w:rFonts w:hint="eastAsia" w:ascii="黑体" w:hAnsi="黑体" w:eastAsia="黑体" w:cs="黑体"/>
          <w:snapToGrid w:val="0"/>
          <w:color w:val="auto"/>
          <w:spacing w:val="0"/>
          <w:kern w:val="0"/>
          <w:sz w:val="32"/>
          <w:szCs w:val="32"/>
          <w:highlight w:val="none"/>
          <w:lang w:val="en-US" w:eastAsia="zh-CN" w:bidi="ar-SA"/>
        </w:rPr>
      </w:pPr>
      <w:r>
        <w:rPr>
          <w:rFonts w:hint="eastAsia" w:ascii="黑体" w:hAnsi="黑体" w:eastAsia="黑体" w:cs="黑体"/>
          <w:snapToGrid w:val="0"/>
          <w:color w:val="auto"/>
          <w:spacing w:val="0"/>
          <w:kern w:val="0"/>
          <w:sz w:val="32"/>
          <w:szCs w:val="32"/>
          <w:highlight w:val="none"/>
          <w:lang w:val="en-US" w:eastAsia="zh-CN" w:bidi="ar-SA"/>
        </w:rPr>
        <w:t>突出贡献奖(个人)</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68"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伍宏凯  广东省农产品质量安全中心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68"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潘绮雯  广东省农产品质量安全中心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68"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梁祺琦  广东省农产品质量安全中心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68"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刘  燕  广东省农产品质量安全中心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68"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邓秉钊  广东省农产品质量安全中心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68"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王威利  农业农村部农产品及加工品质量监督检验测试中心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68" w:lineRule="exact"/>
        <w:ind w:firstLine="1800" w:firstLineChars="6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（广州）</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68"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赵晓丽  农业农村部农产品及加工品质量监督检验测试中心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68" w:lineRule="exact"/>
        <w:ind w:firstLine="1800" w:firstLineChars="6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（广州）</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刘  帅  农业农村部农产品及加工品质量监督检验测试中心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1800" w:firstLineChars="6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（广州）</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刘文字  农业农村部畜禽产品质量监督检验测试中心（广州）</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沈祥广  农业农村部畜禽产品质量监督检验测试中心（广州）</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赵东豪  农业农村部畜禽产品质量监督检验测试中心（广州）</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黄  珂  农业农村部渔业环境及水产品质量监督检验测试中心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1800" w:firstLineChars="6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（广州）</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王  强  农业农村部渔业环境及水产品质量监督检验测试中心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1800" w:firstLineChars="6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（广州）</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陈洁文  农业农村部渔业环境及水产品质量监督检验测试中心</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1800" w:firstLineChars="600"/>
        <w:jc w:val="both"/>
        <w:textAlignment w:val="baseline"/>
        <w:rPr>
          <w:rFonts w:hint="eastAsia" w:ascii="仿宋_GB2312" w:hAnsi="仿宋_GB2312" w:eastAsia="仿宋_GB2312" w:cs="仿宋_GB2312"/>
          <w:b w:val="0"/>
          <w:bCs w:val="0"/>
          <w:i w:val="0"/>
          <w:iCs w:val="0"/>
          <w:color w:val="auto"/>
          <w:kern w:val="0"/>
          <w:sz w:val="30"/>
          <w:szCs w:val="30"/>
          <w:highlight w:val="none"/>
          <w:u w:val="none"/>
          <w:lang w:val="en-US" w:eastAsia="zh-CN" w:bidi="ar-SA"/>
        </w:rPr>
      </w:pPr>
      <w:r>
        <w:rPr>
          <w:rFonts w:hint="eastAsia" w:ascii="仿宋_GB2312" w:hAnsi="仿宋_GB2312" w:eastAsia="仿宋_GB2312" w:cs="仿宋_GB2312"/>
          <w:b w:val="0"/>
          <w:bCs w:val="0"/>
          <w:i w:val="0"/>
          <w:iCs w:val="0"/>
          <w:color w:val="auto"/>
          <w:kern w:val="0"/>
          <w:sz w:val="30"/>
          <w:szCs w:val="30"/>
          <w:highlight w:val="none"/>
          <w:u w:val="none"/>
          <w:lang w:val="en-US" w:eastAsia="zh-CN" w:bidi="ar-SA"/>
        </w:rPr>
        <w:t>（广州）</w:t>
      </w:r>
      <w:bookmarkStart w:id="0" w:name="_GoBack"/>
      <w:bookmarkEnd w:id="0"/>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谭美思   广东省农产品质量安全协会</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beforeLines="0" w:line="590" w:lineRule="exact"/>
        <w:ind w:firstLine="600" w:firstLineChars="200"/>
        <w:jc w:val="both"/>
        <w:textAlignment w:val="baseline"/>
        <w:rPr>
          <w:rFonts w:hint="eastAsia" w:ascii="仿宋_GB2312" w:hAnsi="仿宋_GB2312" w:eastAsia="仿宋_GB2312" w:cs="仿宋_GB2312"/>
          <w:b w:val="0"/>
          <w:bCs w:val="0"/>
          <w:i w:val="0"/>
          <w:iCs w:val="0"/>
          <w:color w:val="auto"/>
          <w:kern w:val="0"/>
          <w:sz w:val="30"/>
          <w:szCs w:val="30"/>
          <w:u w:val="none"/>
          <w:lang w:val="en-US" w:eastAsia="zh-CN" w:bidi="ar-SA"/>
        </w:rPr>
      </w:pPr>
      <w:r>
        <w:rPr>
          <w:rFonts w:hint="eastAsia" w:ascii="仿宋_GB2312" w:hAnsi="仿宋_GB2312" w:eastAsia="仿宋_GB2312" w:cs="仿宋_GB2312"/>
          <w:b w:val="0"/>
          <w:bCs w:val="0"/>
          <w:i w:val="0"/>
          <w:iCs w:val="0"/>
          <w:color w:val="auto"/>
          <w:kern w:val="0"/>
          <w:sz w:val="30"/>
          <w:szCs w:val="30"/>
          <w:u w:val="none"/>
          <w:lang w:val="en-US" w:eastAsia="zh-CN" w:bidi="ar-SA"/>
        </w:rPr>
        <w:t>刘玉婷  广东省农产品质量安全协会</w:t>
      </w:r>
    </w:p>
    <w:p>
      <w:pPr>
        <w:pStyle w:val="2"/>
        <w:rPr>
          <w:rFonts w:hint="eastAsia"/>
        </w:rPr>
        <w:sectPr>
          <w:pgSz w:w="11906" w:h="16838"/>
          <w:pgMar w:top="1871" w:right="1531" w:bottom="1871" w:left="1531" w:header="851" w:footer="1417" w:gutter="0"/>
          <w:pgNumType w:fmt="decimal"/>
          <w:cols w:space="425" w:num="1"/>
          <w:titlePg/>
          <w:rtlGutter w:val="0"/>
          <w:docGrid w:type="lines" w:linePitch="595"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6ABC2"/>
    <w:multiLevelType w:val="singleLevel"/>
    <w:tmpl w:val="EF16ABC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72AB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qFormat/>
    <w:uiPriority w:val="0"/>
    <w:rPr>
      <w:rFonts w:ascii="等线" w:hAnsi="等线" w:eastAsia="等线" w:cs="等线"/>
      <w:sz w:val="35"/>
      <w:szCs w:val="35"/>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2023-09-14T07:06:54Z</dcterms:created>
  <dc:creator>wuyin</dc:creator>
  <cp:lastModifiedBy>One</cp:lastModifiedBy>
  <dcterms:modified xsi:type="dcterms:W3CDTF">2023-09-14T07:07:35Z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A16AC6EB52EA4BCFA5ECF273F2EE3074_12</vt:lpwstr>
  </property>
</Properties>
</file>