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pPr>
        <w:pStyle w:val="6"/>
        <w:widowControl w:val="0"/>
        <w:adjustRightInd w:val="0"/>
        <w:snapToGrid w:val="0"/>
        <w:spacing w:beforeLines="0" w:afterLines="0" w:line="540" w:lineRule="exact"/>
        <w:ind w:left="0" w:firstLine="632" w:firstLineChars="20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广东省</w:t>
      </w:r>
      <w:r>
        <w:rPr>
          <w:rFonts w:hint="eastAsia" w:ascii="方正小标宋简体" w:hAnsi="方正小标宋简体" w:eastAsia="方正小标宋简体" w:cs="方正小标宋简体"/>
          <w:sz w:val="44"/>
          <w:szCs w:val="44"/>
        </w:rPr>
        <w:t>动物防疫条件审查场所选址评估办法</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pStyle w:val="3"/>
        <w:adjustRightInd w:val="0"/>
        <w:snapToGrid w:val="0"/>
        <w:spacing w:beforeLines="0" w:after="0" w:afterLines="0" w:line="540" w:lineRule="exact"/>
        <w:ind w:left="0" w:firstLine="632"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规范动物防疫条件审查场所选址，降低动物疫病传播风险，</w:t>
      </w:r>
      <w:r>
        <w:rPr>
          <w:rFonts w:hint="eastAsia" w:ascii="仿宋_GB2312" w:hAnsi="仿宋_GB2312" w:eastAsia="仿宋_GB2312" w:cs="仿宋_GB2312"/>
          <w:sz w:val="32"/>
          <w:szCs w:val="32"/>
        </w:rPr>
        <w:t>促进畜禽养殖业</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发展，根据《中华人民共和国畜牧法》《中华人民共和国动物防疫法》</w:t>
      </w:r>
      <w:r>
        <w:rPr>
          <w:rFonts w:hint="eastAsia" w:ascii="仿宋_GB2312" w:hAnsi="仿宋_GB2312" w:eastAsia="仿宋_GB2312" w:cs="仿宋_GB2312"/>
          <w:sz w:val="32"/>
          <w:szCs w:val="32"/>
          <w:lang w:eastAsia="zh-CN"/>
        </w:rPr>
        <w:t>《广东省动物防疫条例》</w:t>
      </w:r>
      <w:r>
        <w:rPr>
          <w:rFonts w:hint="eastAsia" w:ascii="仿宋_GB2312" w:hAnsi="仿宋_GB2312" w:eastAsia="仿宋_GB2312" w:cs="仿宋_GB2312"/>
          <w:sz w:val="32"/>
          <w:szCs w:val="32"/>
        </w:rPr>
        <w:t>《动物防疫条件审查办法》</w:t>
      </w:r>
      <w:r>
        <w:rPr>
          <w:rFonts w:hint="eastAsia" w:ascii="仿宋_GB2312" w:hAnsi="仿宋_GB2312" w:eastAsia="仿宋_GB2312" w:cs="仿宋_GB2312"/>
          <w:sz w:val="32"/>
          <w:szCs w:val="32"/>
          <w:lang w:eastAsia="zh-CN"/>
        </w:rPr>
        <w:t>（农业农村部令2022年第8号）</w:t>
      </w:r>
      <w:r>
        <w:rPr>
          <w:rFonts w:hint="eastAsia" w:ascii="仿宋_GB2312" w:hAnsi="仿宋_GB2312" w:eastAsia="仿宋_GB2312" w:cs="仿宋_GB2312"/>
          <w:sz w:val="32"/>
          <w:szCs w:val="32"/>
        </w:rPr>
        <w:t>等有关规定，制定本办法。</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eastAsia="zh-CN"/>
        </w:rPr>
        <w:t>开办</w:t>
      </w:r>
      <w:r>
        <w:rPr>
          <w:rFonts w:hint="eastAsia" w:ascii="仿宋_GB2312" w:hAnsi="仿宋_GB2312" w:eastAsia="仿宋_GB2312" w:cs="仿宋_GB2312"/>
          <w:sz w:val="32"/>
          <w:szCs w:val="32"/>
        </w:rPr>
        <w:t>动物饲养场、</w:t>
      </w:r>
      <w:r>
        <w:rPr>
          <w:rFonts w:hint="eastAsia" w:ascii="仿宋_GB2312" w:hAnsi="仿宋_GB2312" w:eastAsia="仿宋_GB2312" w:cs="仿宋_GB2312"/>
          <w:sz w:val="32"/>
          <w:szCs w:val="32"/>
          <w:lang w:eastAsia="zh-CN"/>
        </w:rPr>
        <w:t>养殖小区、</w:t>
      </w:r>
      <w:r>
        <w:rPr>
          <w:rFonts w:hint="eastAsia" w:ascii="仿宋_GB2312" w:hAnsi="仿宋_GB2312" w:eastAsia="仿宋_GB2312" w:cs="仿宋_GB2312"/>
          <w:sz w:val="32"/>
          <w:szCs w:val="32"/>
        </w:rPr>
        <w:t>动物隔离场所、动物屠宰加工场所以及动物和动物产品无害化处理场所</w:t>
      </w:r>
      <w:r>
        <w:rPr>
          <w:rFonts w:hint="eastAsia" w:ascii="仿宋_GB2312" w:hAnsi="仿宋_GB2312" w:eastAsia="仿宋_GB2312" w:cs="仿宋_GB2312"/>
          <w:sz w:val="32"/>
          <w:szCs w:val="32"/>
          <w:lang w:eastAsia="zh-CN"/>
        </w:rPr>
        <w:t>的动物防疫条件选址评估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选址评估</w:t>
      </w:r>
      <w:r>
        <w:rPr>
          <w:rFonts w:hint="eastAsia" w:ascii="仿宋_GB2312" w:hAnsi="仿宋_GB2312" w:eastAsia="仿宋_GB2312" w:cs="仿宋_GB2312"/>
          <w:sz w:val="32"/>
          <w:szCs w:val="32"/>
        </w:rPr>
        <w:t>以有效</w:t>
      </w:r>
      <w:r>
        <w:rPr>
          <w:rFonts w:hint="eastAsia" w:ascii="仿宋_GB2312" w:hAnsi="仿宋_GB2312" w:eastAsia="仿宋_GB2312" w:cs="仿宋_GB2312"/>
          <w:sz w:val="32"/>
          <w:szCs w:val="32"/>
          <w:lang w:eastAsia="zh-CN"/>
        </w:rPr>
        <w:t>降低动物疫病传播风险</w:t>
      </w:r>
      <w:r>
        <w:rPr>
          <w:rFonts w:hint="eastAsia" w:ascii="仿宋_GB2312" w:hAnsi="仿宋_GB2312" w:eastAsia="仿宋_GB2312" w:cs="仿宋_GB2312"/>
          <w:sz w:val="32"/>
          <w:szCs w:val="32"/>
        </w:rPr>
        <w:t>为目标，</w:t>
      </w:r>
      <w:r>
        <w:rPr>
          <w:rFonts w:hint="eastAsia" w:ascii="仿宋_GB2312" w:hAnsi="仿宋_GB2312" w:eastAsia="仿宋_GB2312" w:cs="仿宋_GB2312"/>
          <w:spacing w:val="7"/>
          <w:sz w:val="32"/>
          <w:szCs w:val="32"/>
        </w:rPr>
        <w:t>以“</w:t>
      </w:r>
      <w:r>
        <w:rPr>
          <w:rFonts w:hint="eastAsia" w:ascii="仿宋_GB2312" w:hAnsi="仿宋_GB2312" w:eastAsia="仿宋_GB2312" w:cs="仿宋_GB2312"/>
          <w:spacing w:val="15"/>
          <w:sz w:val="32"/>
          <w:szCs w:val="32"/>
          <w:lang w:eastAsia="zh-CN"/>
        </w:rPr>
        <w:t>场所间距离与综合评估相结合</w:t>
      </w:r>
      <w:r>
        <w:rPr>
          <w:rFonts w:hint="eastAsia" w:ascii="仿宋_GB2312" w:hAnsi="仿宋_GB2312" w:eastAsia="仿宋_GB2312" w:cs="仿宋_GB2312"/>
          <w:spacing w:val="7"/>
          <w:sz w:val="32"/>
          <w:szCs w:val="32"/>
        </w:rPr>
        <w:t>”为原则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县级农业农村</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部门负责动物饲养场</w:t>
      </w:r>
      <w:r>
        <w:rPr>
          <w:rFonts w:hint="eastAsia" w:ascii="仿宋_GB2312" w:hAnsi="仿宋_GB2312" w:eastAsia="仿宋_GB2312" w:cs="仿宋_GB2312"/>
          <w:sz w:val="32"/>
          <w:szCs w:val="32"/>
          <w:lang w:eastAsia="zh-CN"/>
        </w:rPr>
        <w:t>、养殖小区、</w:t>
      </w:r>
      <w:r>
        <w:rPr>
          <w:rFonts w:hint="eastAsia" w:ascii="仿宋_GB2312" w:hAnsi="仿宋_GB2312" w:eastAsia="仿宋_GB2312" w:cs="仿宋_GB2312"/>
          <w:sz w:val="32"/>
          <w:szCs w:val="32"/>
        </w:rPr>
        <w:t>动物隔离场所、动物屠宰加工场所、动物和动物产品无害化处理场所等场所</w:t>
      </w:r>
      <w:r>
        <w:rPr>
          <w:rFonts w:hint="eastAsia" w:ascii="仿宋_GB2312" w:hAnsi="仿宋_GB2312" w:eastAsia="仿宋_GB2312" w:cs="仿宋_GB2312"/>
          <w:sz w:val="32"/>
          <w:szCs w:val="32"/>
          <w:lang w:eastAsia="zh-CN"/>
        </w:rPr>
        <w:t>动物防疫条件选址评估工作</w:t>
      </w:r>
      <w:r>
        <w:rPr>
          <w:rFonts w:hint="eastAsia" w:ascii="仿宋_GB2312" w:hAnsi="仿宋_GB2312" w:eastAsia="仿宋_GB2312" w:cs="仿宋_GB2312"/>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i w:val="0"/>
          <w:caps w:val="0"/>
          <w:color w:val="222222"/>
          <w:spacing w:val="0"/>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val="en-US" w:eastAsia="zh-CN"/>
        </w:rPr>
        <w:t>五</w:t>
      </w:r>
      <w:r>
        <w:rPr>
          <w:rFonts w:hint="eastAsia" w:ascii="黑体" w:hAnsi="黑体" w:eastAsia="黑体" w:cs="黑体"/>
          <w:kern w:val="2"/>
          <w:sz w:val="32"/>
          <w:szCs w:val="32"/>
        </w:rPr>
        <w:t>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i w:val="0"/>
          <w:caps w:val="0"/>
          <w:color w:val="222222"/>
          <w:spacing w:val="0"/>
          <w:sz w:val="32"/>
          <w:szCs w:val="32"/>
        </w:rPr>
        <w:t>动物饲养场、养殖小区、动物隔离场所、动物屠宰加工场所以及动物和动物产品无害化处理场所的选址应当符合</w:t>
      </w:r>
      <w:r>
        <w:rPr>
          <w:rFonts w:hint="eastAsia" w:ascii="仿宋_GB2312" w:hAnsi="仿宋_GB2312" w:eastAsia="仿宋_GB2312" w:cs="仿宋_GB2312"/>
          <w:i w:val="0"/>
          <w:caps w:val="0"/>
          <w:color w:val="222222"/>
          <w:spacing w:val="0"/>
          <w:sz w:val="32"/>
          <w:szCs w:val="32"/>
          <w:lang w:eastAsia="zh-CN"/>
        </w:rPr>
        <w:t>《畜牧法》等</w:t>
      </w:r>
      <w:r>
        <w:rPr>
          <w:rFonts w:hint="eastAsia" w:ascii="仿宋_GB2312" w:hAnsi="仿宋_GB2312" w:eastAsia="仿宋_GB2312" w:cs="仿宋_GB2312"/>
          <w:i w:val="0"/>
          <w:caps w:val="0"/>
          <w:color w:val="222222"/>
          <w:spacing w:val="0"/>
          <w:sz w:val="32"/>
          <w:szCs w:val="32"/>
        </w:rPr>
        <w:t>有关法律法规的规定。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rPr>
        <w:t>第</w:t>
      </w:r>
      <w:r>
        <w:rPr>
          <w:rFonts w:hint="eastAsia" w:ascii="黑体" w:hAnsi="黑体" w:eastAsia="黑体" w:cs="黑体"/>
          <w:kern w:val="2"/>
          <w:sz w:val="32"/>
          <w:szCs w:val="32"/>
          <w:lang w:val="en-US" w:eastAsia="zh-CN"/>
        </w:rPr>
        <w:t>六</w:t>
      </w:r>
      <w:r>
        <w:rPr>
          <w:rFonts w:hint="eastAsia" w:ascii="黑体" w:hAnsi="黑体" w:eastAsia="黑体" w:cs="黑体"/>
          <w:kern w:val="2"/>
          <w:sz w:val="32"/>
          <w:szCs w:val="32"/>
        </w:rPr>
        <w:t>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sz w:val="32"/>
          <w:szCs w:val="32"/>
        </w:rPr>
        <w:t>开办动物饲养场、</w:t>
      </w:r>
      <w:r>
        <w:rPr>
          <w:rFonts w:hint="eastAsia" w:ascii="仿宋_GB2312" w:hAnsi="仿宋_GB2312" w:eastAsia="仿宋_GB2312" w:cs="仿宋_GB2312"/>
          <w:sz w:val="32"/>
          <w:szCs w:val="32"/>
          <w:lang w:eastAsia="zh-CN"/>
        </w:rPr>
        <w:t>养殖小区、</w:t>
      </w:r>
      <w:r>
        <w:rPr>
          <w:rFonts w:hint="eastAsia" w:ascii="仿宋_GB2312" w:hAnsi="仿宋_GB2312" w:eastAsia="仿宋_GB2312" w:cs="仿宋_GB2312"/>
          <w:sz w:val="32"/>
          <w:szCs w:val="32"/>
        </w:rPr>
        <w:t>动物隔离场所、动物屠宰加工场所以及动物和动物产品无害化处理场所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，应当向县级人民政府农业农村主管部门提交</w:t>
      </w:r>
      <w:r>
        <w:rPr>
          <w:rFonts w:hint="eastAsia" w:ascii="仿宋_GB2312" w:hAnsi="仿宋_GB2312" w:eastAsia="仿宋_GB2312" w:cs="仿宋_GB2312"/>
          <w:sz w:val="32"/>
          <w:szCs w:val="32"/>
          <w:lang w:eastAsia="zh-CN"/>
        </w:rPr>
        <w:t>动物防疫条件</w:t>
      </w:r>
      <w:r>
        <w:rPr>
          <w:rFonts w:hint="eastAsia" w:ascii="仿宋_GB2312" w:hAnsi="仿宋_GB2312" w:eastAsia="仿宋_GB2312" w:cs="仿宋_GB2312"/>
          <w:sz w:val="32"/>
          <w:szCs w:val="32"/>
        </w:rPr>
        <w:t>选址</w:t>
      </w:r>
      <w:r>
        <w:rPr>
          <w:rFonts w:hint="eastAsia" w:ascii="仿宋_GB2312" w:hAnsi="仿宋_GB2312" w:eastAsia="仿宋_GB2312" w:cs="仿宋_GB2312"/>
          <w:sz w:val="32"/>
          <w:szCs w:val="32"/>
          <w:lang w:val="en-US" w:eastAsia="zh-CN"/>
        </w:rPr>
        <w:t>评估申请</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pacing w:val="8"/>
          <w:sz w:val="32"/>
          <w:szCs w:val="32"/>
        </w:rPr>
        <w:t>并提交以下材料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beforeLines="0" w:afterLines="0" w:line="540" w:lineRule="exact"/>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（一）项目选址概况（包括选址地点、周边与动物防疫条件审查有关场所分布距离以及天然屏障</w:t>
      </w:r>
      <w:r>
        <w:rPr>
          <w:rFonts w:hint="eastAsia" w:ascii="仿宋_GB2312" w:hAnsi="仿宋_GB2312" w:eastAsia="仿宋_GB2312" w:cs="仿宋_GB2312"/>
          <w:color w:val="auto"/>
          <w:sz w:val="32"/>
          <w:szCs w:val="32"/>
          <w:lang w:val="en-US" w:eastAsia="zh-CN"/>
        </w:rPr>
        <w:t>状况</w:t>
      </w:r>
      <w:r>
        <w:rPr>
          <w:rFonts w:hint="eastAsia" w:ascii="仿宋_GB2312" w:hAnsi="仿宋_GB2312" w:eastAsia="仿宋_GB2312" w:cs="仿宋_GB2312"/>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）场所设计方案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包括养殖畜禽种类、设计规模、饲养模式、</w:t>
      </w:r>
      <w:r>
        <w:rPr>
          <w:rFonts w:hint="eastAsia" w:ascii="仿宋_GB2312" w:hAnsi="仿宋_GB2312" w:eastAsia="仿宋_GB2312" w:cs="仿宋_GB2312"/>
          <w:kern w:val="2"/>
          <w:sz w:val="32"/>
          <w:szCs w:val="32"/>
        </w:rPr>
        <w:t>平面布局、病死动物和病害动物产品无害化处理方式</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w:t>
      </w:r>
    </w:p>
    <w:p>
      <w:pPr>
        <w:keepNext w:val="0"/>
        <w:keepLines w:val="0"/>
        <w:pageBreakBefore w:val="0"/>
        <w:kinsoku/>
        <w:wordWrap/>
        <w:overflowPunct/>
        <w:topLinePunct w:val="0"/>
        <w:autoSpaceDE/>
        <w:autoSpaceDN/>
        <w:bidi w:val="0"/>
        <w:adjustRightInd w:val="0"/>
        <w:snapToGrid w:val="0"/>
        <w:spacing w:beforeLines="0" w:afterLines="0" w:line="540" w:lineRule="exact"/>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）动物防疫措施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重点说明动物防疫人工屏障、动物防疫硬件设施</w:t>
      </w:r>
      <w:r>
        <w:rPr>
          <w:rFonts w:hint="eastAsia" w:ascii="仿宋_GB2312" w:hAnsi="仿宋_GB2312" w:eastAsia="仿宋_GB2312" w:cs="仿宋_GB2312"/>
          <w:sz w:val="32"/>
          <w:szCs w:val="32"/>
          <w:lang w:eastAsia="zh-CN"/>
        </w:rPr>
        <w:t>、生物安全管理制度</w:t>
      </w:r>
      <w:r>
        <w:rPr>
          <w:rFonts w:hint="eastAsia" w:ascii="仿宋_GB2312" w:hAnsi="仿宋_GB2312" w:eastAsia="仿宋_GB2312" w:cs="仿宋_GB2312"/>
          <w:sz w:val="32"/>
          <w:szCs w:val="32"/>
        </w:rPr>
        <w:t>等）。</w:t>
      </w:r>
    </w:p>
    <w:p>
      <w:pPr>
        <w:pStyle w:val="3"/>
        <w:keepNext w:val="0"/>
        <w:keepLines w:val="0"/>
        <w:pageBreakBefore w:val="0"/>
        <w:kinsoku/>
        <w:wordWrap/>
        <w:overflowPunct/>
        <w:topLinePunct w:val="0"/>
        <w:autoSpaceDE/>
        <w:autoSpaceDN/>
        <w:bidi w:val="0"/>
        <w:adjustRightInd w:val="0"/>
        <w:snapToGrid w:val="0"/>
        <w:spacing w:beforeLines="0" w:after="0" w:afterLines="0" w:line="540" w:lineRule="exact"/>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）申请人身份证复印件（申请单位法人资格证明）。</w:t>
      </w:r>
    </w:p>
    <w:p>
      <w:pPr>
        <w:keepNext w:val="0"/>
        <w:keepLines w:val="0"/>
        <w:pageBreakBefore w:val="0"/>
        <w:kinsoku/>
        <w:wordWrap/>
        <w:overflowPunct/>
        <w:topLinePunct w:val="0"/>
        <w:autoSpaceDE/>
        <w:autoSpaceDN/>
        <w:bidi w:val="0"/>
        <w:adjustRightInd w:val="0"/>
        <w:snapToGrid w:val="0"/>
        <w:spacing w:beforeLines="0" w:afterLines="0" w:line="540" w:lineRule="exact"/>
        <w:ind w:left="0" w:leftChars="0" w:right="0" w:righ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申请材料不齐全或不符合规定条件的，县级农业农村</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部门应自收到申请材料之日起5个工作日内，一次性告知申请人需补正的</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内容。</w:t>
      </w:r>
    </w:p>
    <w:p>
      <w:pPr>
        <w:pStyle w:val="6"/>
        <w:keepNext w:val="0"/>
        <w:keepLines w:val="0"/>
        <w:pageBreakBefore w:val="0"/>
        <w:widowControl w:val="0"/>
        <w:kinsoku/>
        <w:wordWrap/>
        <w:overflowPunct/>
        <w:topLinePunct w:val="0"/>
        <w:autoSpaceDE/>
        <w:autoSpaceDN/>
        <w:bidi w:val="0"/>
        <w:adjustRightInd w:val="0"/>
        <w:snapToGrid w:val="0"/>
        <w:spacing w:beforeLines="0" w:after="0" w:afterLines="0" w:line="540" w:lineRule="exact"/>
        <w:ind w:left="0" w:leftChars="0" w:right="0" w:rightChars="0"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动物饲养场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养殖小区选址满足以下条件的，视为</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动物防疫条件</w:t>
      </w:r>
      <w:r>
        <w:rPr>
          <w:rFonts w:hint="eastAsia" w:ascii="仿宋_GB2312" w:hAnsi="仿宋_GB2312" w:eastAsia="仿宋_GB2312" w:cs="仿宋_GB2312"/>
          <w:sz w:val="32"/>
          <w:szCs w:val="32"/>
        </w:rPr>
        <w:t>选址</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需进行选址</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距离生活饮用水源地、动物屠宰加工场所、动物和动物产品集贸市场500米以上;</w:t>
      </w:r>
      <w:r>
        <w:rPr>
          <w:rFonts w:hint="eastAsia" w:ascii="仿宋_GB2312" w:hAnsi="仿宋_GB2312" w:eastAsia="仿宋_GB2312" w:cs="仿宋_GB2312"/>
          <w:snapToGrid w:val="0"/>
          <w:spacing w:val="-9"/>
          <w:kern w:val="0"/>
          <w:sz w:val="32"/>
          <w:szCs w:val="32"/>
        </w:rPr>
        <w:t>距离种畜禽场1000米以上;距离动物诊疗场所200米以上;动物饲养场</w:t>
      </w:r>
      <w:r>
        <w:rPr>
          <w:rFonts w:hint="eastAsia" w:ascii="仿宋_GB2312" w:hAnsi="仿宋_GB2312" w:eastAsia="仿宋_GB2312" w:cs="仿宋_GB2312"/>
          <w:snapToGrid w:val="0"/>
          <w:spacing w:val="-9"/>
          <w:kern w:val="0"/>
          <w:sz w:val="32"/>
          <w:szCs w:val="32"/>
          <w:lang w:eastAsia="zh-CN"/>
        </w:rPr>
        <w:t>（养殖小区）</w:t>
      </w:r>
      <w:r>
        <w:rPr>
          <w:rFonts w:hint="eastAsia" w:ascii="仿宋_GB2312" w:hAnsi="仿宋_GB2312" w:eastAsia="仿宋_GB2312" w:cs="仿宋_GB2312"/>
          <w:snapToGrid w:val="0"/>
          <w:spacing w:val="-9"/>
          <w:kern w:val="0"/>
          <w:sz w:val="32"/>
          <w:szCs w:val="32"/>
        </w:rPr>
        <w:t>之间距离500米</w:t>
      </w:r>
      <w:r>
        <w:rPr>
          <w:rFonts w:hint="eastAsia" w:ascii="仿宋_GB2312" w:hAnsi="仿宋_GB2312" w:eastAsia="仿宋_GB2312" w:cs="仿宋_GB2312"/>
          <w:snapToGrid w:val="0"/>
          <w:spacing w:val="-9"/>
          <w:kern w:val="0"/>
          <w:sz w:val="32"/>
          <w:szCs w:val="32"/>
          <w:lang w:eastAsia="zh-CN"/>
        </w:rPr>
        <w:t>以上</w:t>
      </w:r>
      <w:r>
        <w:rPr>
          <w:rFonts w:hint="eastAsia" w:ascii="仿宋_GB2312" w:hAnsi="仿宋_GB2312" w:eastAsia="仿宋_GB2312" w:cs="仿宋_GB2312"/>
          <w:snapToGrid w:val="0"/>
          <w:spacing w:val="-9"/>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距离动物隔离场所、</w:t>
      </w:r>
      <w:r>
        <w:rPr>
          <w:rFonts w:hint="eastAsia" w:ascii="仿宋_GB2312" w:hAnsi="仿宋_GB2312" w:eastAsia="仿宋_GB2312" w:cs="仿宋_GB2312"/>
          <w:sz w:val="32"/>
          <w:szCs w:val="32"/>
          <w:lang w:eastAsia="zh-CN"/>
        </w:rPr>
        <w:t>动物和动物产品</w:t>
      </w:r>
      <w:r>
        <w:rPr>
          <w:rFonts w:hint="eastAsia" w:ascii="仿宋_GB2312" w:hAnsi="仿宋_GB2312" w:eastAsia="仿宋_GB2312" w:cs="仿宋_GB2312"/>
          <w:sz w:val="32"/>
          <w:szCs w:val="32"/>
        </w:rPr>
        <w:t>无害化处理场所</w:t>
      </w:r>
      <w:r>
        <w:rPr>
          <w:rFonts w:hint="eastAsia" w:ascii="仿宋_GB2312" w:hAnsi="仿宋_GB2312" w:eastAsia="仿宋_GB2312" w:cs="仿宋_GB2312"/>
          <w:color w:val="auto"/>
          <w:sz w:val="32"/>
          <w:szCs w:val="32"/>
          <w:lang w:val="en-US" w:eastAsia="zh-CN"/>
        </w:rPr>
        <w:t>1500</w:t>
      </w:r>
      <w:r>
        <w:rPr>
          <w:rFonts w:hint="eastAsia" w:ascii="仿宋_GB2312" w:hAnsi="仿宋_GB2312" w:eastAsia="仿宋_GB2312" w:cs="仿宋_GB2312"/>
          <w:sz w:val="32"/>
          <w:szCs w:val="32"/>
        </w:rPr>
        <w:t>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距离城镇居民区、</w:t>
      </w:r>
      <w:r>
        <w:rPr>
          <w:rFonts w:hint="eastAsia" w:ascii="仿宋_GB2312" w:hAnsi="仿宋_GB2312" w:eastAsia="仿宋_GB2312" w:cs="仿宋_GB2312"/>
          <w:sz w:val="32"/>
          <w:szCs w:val="32"/>
          <w:lang w:eastAsia="zh-CN"/>
        </w:rPr>
        <w:t>学校、医院</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公共场所</w:t>
      </w:r>
      <w:r>
        <w:rPr>
          <w:rFonts w:hint="eastAsia" w:ascii="仿宋_GB2312" w:hAnsi="仿宋_GB2312" w:eastAsia="仿宋_GB2312" w:cs="仿宋_GB2312"/>
          <w:sz w:val="32"/>
          <w:szCs w:val="32"/>
        </w:rPr>
        <w:t>500米以上。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动物隔离场所选址满足以下条件的，</w:t>
      </w:r>
      <w:r>
        <w:rPr>
          <w:rFonts w:hint="eastAsia" w:ascii="仿宋_GB2312" w:hAnsi="仿宋_GB2312" w:eastAsia="仿宋_GB2312" w:cs="仿宋_GB2312"/>
          <w:sz w:val="32"/>
          <w:szCs w:val="32"/>
          <w:lang w:eastAsia="zh-CN"/>
        </w:rPr>
        <w:t>视为</w:t>
      </w:r>
      <w:r>
        <w:rPr>
          <w:rFonts w:hint="eastAsia" w:ascii="仿宋_GB2312" w:hAnsi="仿宋_GB2312" w:eastAsia="仿宋_GB2312" w:cs="仿宋_GB2312"/>
          <w:sz w:val="32"/>
          <w:szCs w:val="32"/>
        </w:rPr>
        <w:t>符合动物防疫条件选址要求,</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需进行选址</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距离动物饲养场、养殖小区、种畜禽场、动物屠宰加工场所、</w:t>
      </w:r>
      <w:r>
        <w:rPr>
          <w:rFonts w:hint="eastAsia" w:ascii="仿宋_GB2312" w:hAnsi="仿宋_GB2312" w:eastAsia="仿宋_GB2312" w:cs="仿宋_GB2312"/>
          <w:sz w:val="32"/>
          <w:szCs w:val="32"/>
          <w:lang w:eastAsia="zh-CN"/>
        </w:rPr>
        <w:t>动物和动物产品</w:t>
      </w:r>
      <w:r>
        <w:rPr>
          <w:rFonts w:hint="eastAsia" w:ascii="仿宋_GB2312" w:hAnsi="仿宋_GB2312" w:eastAsia="仿宋_GB2312" w:cs="仿宋_GB2312"/>
          <w:sz w:val="32"/>
          <w:szCs w:val="32"/>
        </w:rPr>
        <w:t>无害化处理场所、动物诊疗场所、动物和动物产品集贸市场以及其他动物隔离场3000米以上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距离城镇居民区、学校、医院等公共场所及公路、铁路等主要交通干线、生活饮用水源地500米以上。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动物屠宰加工场所选址满足以下条件的，视为符合动物防疫条件选址要求,无需进行选址综合评估。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（一）距离生活饮用水源地、动物饲养场、养殖小区500米以上；距离种畜禽场3000米以上；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（二）距离动物隔离场所、无害化处理场所</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00</w:t>
      </w:r>
      <w:r>
        <w:rPr>
          <w:rFonts w:hint="eastAsia" w:ascii="仿宋_GB2312" w:hAnsi="仿宋_GB2312" w:eastAsia="仿宋_GB2312" w:cs="仿宋_GB2312"/>
          <w:sz w:val="32"/>
          <w:szCs w:val="32"/>
          <w:lang w:eastAsia="zh-CN"/>
        </w:rPr>
        <w:t>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动物和动物产品无害化处理场所选址满足以下条件的，视为符合动物防疫条件选址要求,无需进行选址综合评估。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（一）距离动物养殖场、养殖小区、种畜禽场、动物屠宰加工场所、动物隔离场所、动物诊疗场所、动物和动物产品集贸市场、生活饮用水源地3000米以上;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（二）距离城镇居民区、学校、医院</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公共场所500米以上。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对不符合本办法第七条、第八条、第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条、第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条规定动物防疫选址条件的，县级人民政府农业农村主管部门组织评估专家组，依据场所周边的天然屏障、人工屏障、饲养环境、动物分布等情况，以及动物疫病发生、流行和控制等因素，进行选址距离综合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评估组专家人数为3人以上单数，1人任组长，实行组长负责制。评估专家需具有畜牧兽医相关专业中级以上技术职称或畜牧兽医相关专业大专以上学历，并从事畜牧兽医行政管理、动物卫生监督、动物疫病防控、屠宰行业管理等相关工作满5年。有条件的可成立专家库，每次评估前从库中随机抽取专家。</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eastAsia="zh-CN"/>
        </w:rPr>
        <w:t>综合评估采取书面资料审查和现场勘查相结合的方式，专家组按照《广东省动物防疫条件审查场所选址综合评估申请表》审核相关书面材料，按照《广东省动物防疫条件审查场所选址综合评估表》到现场逐项评审，采取实地评估、场所负责人承诺、量化打分相结合的方式开展选址距离综合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动物饲养场、养殖小区、动物隔离场所重点评估以下内容：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周边具有树林、</w:t>
      </w:r>
      <w:r>
        <w:rPr>
          <w:rFonts w:hint="eastAsia" w:ascii="仿宋_GB2312" w:hAnsi="仿宋_GB2312" w:eastAsia="仿宋_GB2312" w:cs="仿宋_GB2312"/>
          <w:sz w:val="32"/>
          <w:szCs w:val="32"/>
          <w:lang w:val="en-US" w:eastAsia="zh-CN"/>
        </w:rPr>
        <w:t>田地、</w:t>
      </w:r>
      <w:r>
        <w:rPr>
          <w:rFonts w:hint="default" w:ascii="仿宋_GB2312" w:hAnsi="仿宋_GB2312" w:eastAsia="仿宋_GB2312" w:cs="仿宋_GB2312"/>
          <w:sz w:val="32"/>
          <w:szCs w:val="32"/>
          <w:lang w:val="en-US" w:eastAsia="zh-CN"/>
        </w:rPr>
        <w:t>山丘等天然屏障，或者</w:t>
      </w:r>
      <w:r>
        <w:rPr>
          <w:rFonts w:hint="eastAsia" w:ascii="仿宋_GB2312" w:hAnsi="仿宋_GB2312" w:eastAsia="仿宋_GB2312" w:cs="仿宋_GB2312"/>
          <w:sz w:val="32"/>
          <w:szCs w:val="32"/>
          <w:lang w:val="en-US" w:eastAsia="zh-CN"/>
        </w:rPr>
        <w:t>承诺建设</w:t>
      </w:r>
      <w:r>
        <w:rPr>
          <w:rFonts w:hint="default" w:ascii="仿宋_GB2312" w:hAnsi="仿宋_GB2312" w:eastAsia="仿宋_GB2312" w:cs="仿宋_GB2312"/>
          <w:sz w:val="32"/>
          <w:szCs w:val="32"/>
          <w:lang w:val="en-US" w:eastAsia="zh-CN"/>
        </w:rPr>
        <w:t>院墙、密闭挡板等人工屏障，并能够与其他动物饲养、诊疗、屠宰加工、隔离等场所</w:t>
      </w:r>
      <w:r>
        <w:rPr>
          <w:rFonts w:hint="eastAsia" w:ascii="仿宋_GB2312" w:hAnsi="仿宋_GB2312" w:eastAsia="仿宋_GB2312" w:cs="仿宋_GB2312"/>
          <w:sz w:val="32"/>
          <w:szCs w:val="32"/>
          <w:lang w:val="en-US" w:eastAsia="zh-CN"/>
        </w:rPr>
        <w:t>，城镇</w:t>
      </w:r>
      <w:r>
        <w:rPr>
          <w:rFonts w:hint="default" w:ascii="仿宋_GB2312" w:hAnsi="仿宋_GB2312" w:eastAsia="仿宋_GB2312" w:cs="仿宋_GB2312"/>
          <w:sz w:val="32"/>
          <w:szCs w:val="32"/>
          <w:lang w:val="en-US" w:eastAsia="zh-CN"/>
        </w:rPr>
        <w:t>居民区、</w:t>
      </w:r>
      <w:r>
        <w:rPr>
          <w:rFonts w:hint="eastAsia" w:ascii="仿宋_GB2312" w:hAnsi="仿宋_GB2312" w:eastAsia="仿宋_GB2312" w:cs="仿宋_GB2312"/>
          <w:sz w:val="32"/>
          <w:szCs w:val="32"/>
          <w:lang w:val="en-US" w:eastAsia="zh-CN"/>
        </w:rPr>
        <w:t>学校、医院</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公共场所</w:t>
      </w:r>
      <w:r>
        <w:rPr>
          <w:rFonts w:hint="default" w:ascii="仿宋_GB2312" w:hAnsi="仿宋_GB2312" w:eastAsia="仿宋_GB2312" w:cs="仿宋_GB2312"/>
          <w:sz w:val="32"/>
          <w:szCs w:val="32"/>
          <w:lang w:val="en-US" w:eastAsia="zh-CN"/>
        </w:rPr>
        <w:t>实现有效的物理隔离；</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（二）承诺建设</w:t>
      </w:r>
      <w:r>
        <w:rPr>
          <w:rFonts w:hint="default" w:ascii="仿宋_GB2312" w:hAnsi="仿宋_GB2312" w:eastAsia="仿宋_GB2312" w:cs="仿宋_GB2312"/>
          <w:sz w:val="32"/>
          <w:szCs w:val="32"/>
          <w:lang w:val="en-US" w:eastAsia="zh-CN"/>
        </w:rPr>
        <w:t>与其规模相适应的清洗消毒设施</w:t>
      </w:r>
      <w:r>
        <w:rPr>
          <w:rFonts w:hint="eastAsia" w:ascii="仿宋_GB2312" w:hAnsi="仿宋_GB2312" w:eastAsia="仿宋_GB2312" w:cs="仿宋_GB2312"/>
          <w:sz w:val="32"/>
          <w:szCs w:val="32"/>
          <w:lang w:val="en-US" w:eastAsia="zh-CN"/>
        </w:rPr>
        <w:t>，并配备相应</w:t>
      </w:r>
      <w:r>
        <w:rPr>
          <w:rFonts w:hint="default" w:ascii="仿宋_GB2312" w:hAnsi="仿宋_GB2312" w:eastAsia="仿宋_GB2312" w:cs="仿宋_GB2312"/>
          <w:sz w:val="32"/>
          <w:szCs w:val="32"/>
          <w:lang w:val="en-US" w:eastAsia="zh-CN"/>
        </w:rPr>
        <w:t>设备；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（三）承诺建设符合国家规定的病死动物和病害动物产品无害化处理设施设备或者冷藏冷冻等暂存设施设备；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（四）兴办场所周边3公里范围内动物分布密度。</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color w:val="000000"/>
          <w:spacing w:val="0"/>
          <w:w w:val="100"/>
          <w:sz w:val="32"/>
          <w:szCs w:val="32"/>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spacing w:val="0"/>
          <w:w w:val="100"/>
          <w:sz w:val="32"/>
          <w:szCs w:val="32"/>
        </w:rPr>
        <w:t>动物屠宰加工场所重点评估以下内容：</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（一）距离生活饮用水源地</w:t>
      </w:r>
      <w:r>
        <w:rPr>
          <w:rFonts w:hint="eastAsia" w:ascii="仿宋_GB2312" w:hAnsi="仿宋_GB2312" w:eastAsia="仿宋_GB2312" w:cs="仿宋_GB2312"/>
          <w:color w:val="000000"/>
          <w:spacing w:val="0"/>
          <w:w w:val="100"/>
          <w:sz w:val="32"/>
          <w:szCs w:val="32"/>
          <w:lang w:eastAsia="zh-CN"/>
        </w:rPr>
        <w:t>距离不足</w:t>
      </w:r>
      <w:r>
        <w:rPr>
          <w:rFonts w:hint="eastAsia" w:ascii="仿宋_GB2312" w:hAnsi="仿宋_GB2312" w:eastAsia="仿宋_GB2312" w:cs="仿宋_GB2312"/>
          <w:color w:val="000000"/>
          <w:spacing w:val="0"/>
          <w:w w:val="100"/>
          <w:sz w:val="32"/>
          <w:szCs w:val="32"/>
          <w:lang w:val="en-US" w:eastAsia="zh-CN"/>
        </w:rPr>
        <w:t>500米的,应</w:t>
      </w:r>
      <w:r>
        <w:rPr>
          <w:rFonts w:hint="eastAsia" w:ascii="仿宋_GB2312" w:hAnsi="仿宋_GB2312" w:eastAsia="仿宋_GB2312" w:cs="仿宋_GB2312"/>
          <w:color w:val="000000"/>
          <w:spacing w:val="0"/>
          <w:w w:val="100"/>
          <w:sz w:val="32"/>
          <w:szCs w:val="32"/>
        </w:rPr>
        <w:t xml:space="preserve">具有防渗、防漏及污水污物处理设施设备，能有效防止污染饮用水；  </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（二）周边具有树林、田地、山丘等天然屏障，或者承诺建设院墙、密闭挡板等人工屏障，并能够与动物饲养、诊疗、屠宰加工、隔离等场所，城镇居民区、学校、医院等公共场所及实现有效的物理隔离；</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sz w:val="32"/>
          <w:szCs w:val="32"/>
        </w:rPr>
        <w:t>（三）</w:t>
      </w:r>
      <w:r>
        <w:rPr>
          <w:rFonts w:hint="eastAsia" w:ascii="仿宋_GB2312" w:hAnsi="仿宋_GB2312" w:eastAsia="仿宋_GB2312" w:cs="仿宋_GB2312"/>
          <w:sz w:val="32"/>
          <w:szCs w:val="32"/>
          <w:lang w:val="en-US" w:eastAsia="zh-CN"/>
        </w:rPr>
        <w:t>承诺建设</w:t>
      </w:r>
      <w:r>
        <w:rPr>
          <w:rFonts w:hint="default" w:ascii="仿宋_GB2312" w:hAnsi="仿宋_GB2312" w:eastAsia="仿宋_GB2312" w:cs="仿宋_GB2312"/>
          <w:sz w:val="32"/>
          <w:szCs w:val="32"/>
          <w:lang w:val="en-US" w:eastAsia="zh-CN"/>
        </w:rPr>
        <w:t>与其规模相适应的清洗消毒设施</w:t>
      </w:r>
      <w:r>
        <w:rPr>
          <w:rFonts w:hint="eastAsia" w:ascii="仿宋_GB2312" w:hAnsi="仿宋_GB2312" w:eastAsia="仿宋_GB2312" w:cs="仿宋_GB2312"/>
          <w:sz w:val="32"/>
          <w:szCs w:val="32"/>
          <w:lang w:val="en-US" w:eastAsia="zh-CN"/>
        </w:rPr>
        <w:t>，并配备相应</w:t>
      </w:r>
      <w:r>
        <w:rPr>
          <w:rFonts w:hint="default" w:ascii="仿宋_GB2312" w:hAnsi="仿宋_GB2312" w:eastAsia="仿宋_GB2312" w:cs="仿宋_GB2312"/>
          <w:sz w:val="32"/>
          <w:szCs w:val="32"/>
          <w:lang w:val="en-US" w:eastAsia="zh-CN"/>
        </w:rPr>
        <w:t>设备；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（四）承诺建设符合国家规定的病死动物和病害动物产品无害化处理设施或者冷藏冷冻等暂存设施设备。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rPr>
          <w:rFonts w:hint="eastAsia" w:ascii="仿宋_GB2312" w:hAnsi="仿宋_GB2312" w:eastAsia="仿宋_GB2312" w:cs="仿宋_GB2312"/>
          <w:snapToGrid w:val="0"/>
          <w:spacing w:val="-9"/>
          <w:kern w:val="0"/>
          <w:sz w:val="32"/>
          <w:szCs w:val="32"/>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color w:val="000000"/>
          <w:spacing w:val="-9"/>
          <w:w w:val="100"/>
          <w:kern w:val="0"/>
          <w:sz w:val="32"/>
          <w:szCs w:val="32"/>
        </w:rPr>
        <w:t>动物和动物产品无害化处理场所</w:t>
      </w:r>
      <w:r>
        <w:rPr>
          <w:rFonts w:hint="eastAsia" w:ascii="仿宋_GB2312" w:hAnsi="仿宋_GB2312" w:eastAsia="仿宋_GB2312" w:cs="仿宋_GB2312"/>
          <w:snapToGrid w:val="0"/>
          <w:spacing w:val="-9"/>
          <w:kern w:val="0"/>
          <w:sz w:val="32"/>
          <w:szCs w:val="32"/>
        </w:rPr>
        <w:t>重点评估以下内容：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（一）距离生活饮用水源地</w:t>
      </w:r>
      <w:r>
        <w:rPr>
          <w:rFonts w:hint="eastAsia" w:ascii="仿宋_GB2312" w:hAnsi="仿宋_GB2312" w:eastAsia="仿宋_GB2312" w:cs="仿宋_GB2312"/>
          <w:color w:val="000000"/>
          <w:spacing w:val="0"/>
          <w:w w:val="100"/>
          <w:sz w:val="32"/>
          <w:szCs w:val="32"/>
          <w:lang w:eastAsia="zh-CN"/>
        </w:rPr>
        <w:t>距离不足</w:t>
      </w:r>
      <w:r>
        <w:rPr>
          <w:rFonts w:hint="eastAsia" w:ascii="仿宋_GB2312" w:hAnsi="仿宋_GB2312" w:eastAsia="仿宋_GB2312" w:cs="仿宋_GB2312"/>
          <w:color w:val="000000"/>
          <w:spacing w:val="0"/>
          <w:w w:val="100"/>
          <w:sz w:val="32"/>
          <w:szCs w:val="32"/>
          <w:lang w:val="en-US" w:eastAsia="zh-CN"/>
        </w:rPr>
        <w:t>3000米的,应</w:t>
      </w:r>
      <w:r>
        <w:rPr>
          <w:rFonts w:hint="eastAsia" w:ascii="仿宋_GB2312" w:hAnsi="仿宋_GB2312" w:eastAsia="仿宋_GB2312" w:cs="仿宋_GB2312"/>
          <w:sz w:val="32"/>
          <w:szCs w:val="32"/>
        </w:rPr>
        <w:t>具有防渗、防漏及污水污物处理设施设备，能有效防止污染饮用水；</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pacing w:val="0"/>
          <w:w w:val="100"/>
          <w:sz w:val="32"/>
          <w:szCs w:val="32"/>
        </w:rPr>
        <w:t>周边具有树林、田地、山丘等天然屏障，或者承诺建设院墙、密闭挡板等人工屏障，并能够与动物饲养、诊疗、屠宰加工、隔离等场所，城镇居民区、学校、医院等公共场所实现有效的物理隔离；</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beforeLines="0" w:after="0" w:afterLines="0" w:line="540" w:lineRule="exact"/>
        <w:ind w:left="0" w:leftChars="0" w:right="0" w:rightChars="0" w:firstLine="632" w:firstLineChars="200"/>
        <w:jc w:val="both"/>
        <w:textAlignment w:val="auto"/>
        <w:rPr>
          <w:rFonts w:hint="eastAsia" w:ascii="仿宋_GB2312" w:hAnsi="仿宋_GB2312" w:eastAsia="仿宋_GB2312" w:cs="仿宋_GB2312"/>
          <w:color w:val="000000"/>
          <w:spacing w:val="0"/>
          <w:w w:val="100"/>
          <w:kern w:val="2"/>
          <w:sz w:val="32"/>
          <w:szCs w:val="32"/>
          <w:lang w:val="en-US" w:eastAsia="zh-CN" w:bidi="ar-SA"/>
        </w:rPr>
      </w:pPr>
      <w:r>
        <w:rPr>
          <w:rFonts w:hint="eastAsia" w:ascii="仿宋_GB2312" w:hAnsi="仿宋_GB2312" w:eastAsia="仿宋_GB2312" w:cs="仿宋_GB2312"/>
          <w:color w:val="000000"/>
          <w:spacing w:val="0"/>
          <w:w w:val="100"/>
          <w:kern w:val="2"/>
          <w:sz w:val="32"/>
          <w:szCs w:val="32"/>
          <w:lang w:val="en-US" w:eastAsia="zh-CN" w:bidi="ar-SA"/>
        </w:rPr>
        <w:t>承诺建设与其规模相适应的清洗消毒设施，并配备相应设备。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（四）承诺建设与其规模相适应的病死动物和病害动物产品无害化处理设施，</w:t>
      </w:r>
      <w:r>
        <w:rPr>
          <w:rFonts w:hint="eastAsia" w:ascii="仿宋_GB2312" w:hAnsi="仿宋_GB2312" w:eastAsia="仿宋_GB2312" w:cs="仿宋_GB2312"/>
          <w:color w:val="000000"/>
          <w:spacing w:val="0"/>
          <w:w w:val="100"/>
          <w:kern w:val="2"/>
          <w:sz w:val="32"/>
          <w:szCs w:val="32"/>
          <w:lang w:val="en-US" w:eastAsia="zh-CN" w:bidi="ar-SA"/>
        </w:rPr>
        <w:t>并配备相应</w:t>
      </w:r>
      <w:r>
        <w:rPr>
          <w:rFonts w:hint="eastAsia" w:ascii="仿宋_GB2312" w:hAnsi="仿宋_GB2312" w:eastAsia="仿宋_GB2312" w:cs="仿宋_GB2312"/>
          <w:sz w:val="32"/>
          <w:szCs w:val="32"/>
          <w:lang w:val="en-US" w:eastAsia="zh-CN"/>
        </w:rPr>
        <w:t>设备。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rPr>
          <w:rFonts w:hint="eastAsia" w:ascii="仿宋_GB2312" w:hAnsi="仿宋_GB2312" w:eastAsia="仿宋_GB2312" w:cs="仿宋_GB2312"/>
          <w:color w:val="000000"/>
          <w:spacing w:val="0"/>
          <w:w w:val="100"/>
          <w:sz w:val="32"/>
          <w:szCs w:val="32"/>
          <w:lang w:val="en-US"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pacing w:val="0"/>
          <w:w w:val="100"/>
          <w:sz w:val="32"/>
          <w:szCs w:val="32"/>
          <w:lang w:val="en-US" w:eastAsia="zh-CN"/>
        </w:rPr>
        <w:t>综合评估结束后，专家组应当在3个工作日内出具综合评估结果，结果应当有“可以设立”“整改后设立”“不建议设立”的明确结论，并作必要的说明。</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家组综合评估分值在80分以上(含80分)的,评估结论为“可以设立”。达不到80分的，但通过改进设施条件能达到的，由专家组提出整改意见，申请方同意并承诺实施的，评估结论为“整改后设立”。整改期限为一个月，整改措施得到落实后，经专家组确认合格后视同评估“可以设立”。其他情形为“不建议设立”。</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县级农业农业村主管部门自收到申请人齐全的申请材料起，15个工作日内组织完成评估工作(不计整改时间)。农业农村主管部门审核专家组评估结果，得出“同意选址”或“不同意选址”的意见，并告知申请人。</w:t>
      </w:r>
    </w:p>
    <w:p>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kern w:val="2"/>
          <w:sz w:val="32"/>
          <w:szCs w:val="32"/>
          <w:lang w:eastAsia="zh-CN"/>
        </w:rPr>
        <w:t>第十</w:t>
      </w:r>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动物饲养场、养殖小区、动物隔离场所、动物屠宰加工场所以及动物和动物产品无害化处理场所应当按照县级农业农村主管部门确认的动物防疫条件选址进行建设，并建设配备相应设施设备。未按照确认选址建设的，或未按照承诺建设配备相应设施设备的</w:t>
      </w:r>
      <w:r>
        <w:rPr>
          <w:rFonts w:hint="eastAsia" w:ascii="仿宋_GB2312" w:hAnsi="仿宋_GB2312" w:eastAsia="仿宋_GB2312" w:cs="仿宋_GB2312"/>
          <w:bCs/>
          <w:sz w:val="32"/>
          <w:szCs w:val="32"/>
          <w:lang w:eastAsia="zh-CN"/>
        </w:rPr>
        <w:t>，视为不符合动物防疫条件选址要求</w:t>
      </w:r>
      <w:r>
        <w:rPr>
          <w:rFonts w:hint="eastAsia" w:ascii="仿宋_GB2312" w:hAnsi="仿宋_GB2312" w:eastAsia="仿宋_GB2312" w:cs="仿宋_GB2312"/>
          <w:bCs/>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beforeLines="0" w:after="0" w:afterLines="0" w:line="540" w:lineRule="exact"/>
        <w:ind w:left="0" w:leftChars="0"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动物饲养场、养殖小区、动物隔离场、动物屠宰加工场所以及动物和动物产品无害化处理场所变更选址的，应依据《动物防疫条件审查办法》的有关规定重新申请办理《动物防疫条件合格证》，发证机关受理后应当重新组织选址综合评估。</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napToGrid w:val="0"/>
          <w:spacing w:val="-9"/>
          <w:kern w:val="0"/>
          <w:sz w:val="32"/>
          <w:szCs w:val="32"/>
          <w:lang w:eastAsia="zh-CN"/>
        </w:rPr>
        <w:t>本办法自印发之日起30日后施行,有效期为</w:t>
      </w:r>
      <w:r>
        <w:rPr>
          <w:rFonts w:hint="eastAsia" w:ascii="仿宋_GB2312" w:hAnsi="仿宋_GB2312" w:eastAsia="仿宋_GB2312" w:cs="仿宋_GB2312"/>
          <w:snapToGrid w:val="0"/>
          <w:spacing w:val="-9"/>
          <w:kern w:val="0"/>
          <w:sz w:val="32"/>
          <w:szCs w:val="32"/>
          <w:lang w:val="en-US" w:eastAsia="zh-CN"/>
        </w:rPr>
        <w:t>5</w:t>
      </w:r>
      <w:r>
        <w:rPr>
          <w:rFonts w:hint="eastAsia" w:ascii="仿宋_GB2312" w:hAnsi="仿宋_GB2312" w:eastAsia="仿宋_GB2312" w:cs="仿宋_GB2312"/>
          <w:snapToGrid w:val="0"/>
          <w:spacing w:val="-9"/>
          <w:kern w:val="0"/>
          <w:sz w:val="32"/>
          <w:szCs w:val="32"/>
          <w:lang w:eastAsia="zh-CN"/>
        </w:rPr>
        <w:t>年。</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pStyle w:val="6"/>
        <w:widowControl w:val="0"/>
        <w:adjustRightInd w:val="0"/>
        <w:snapToGrid w:val="0"/>
        <w:spacing w:beforeLines="0" w:afterLines="0" w:line="540" w:lineRule="exact"/>
        <w:ind w:left="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附表：</w:t>
      </w:r>
      <w:r>
        <w:rPr>
          <w:rFonts w:hint="eastAsia" w:ascii="仿宋_GB2312" w:hAnsi="仿宋_GB2312" w:eastAsia="仿宋_GB2312" w:cs="仿宋_GB2312"/>
          <w:sz w:val="32"/>
          <w:szCs w:val="32"/>
          <w:lang w:val="en-US" w:eastAsia="zh-CN"/>
        </w:rPr>
        <w:t>1.广东省动物防疫条件审查场所选址综合评估申请表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1943" w:leftChars="507" w:right="0" w:rightChars="0" w:hanging="341" w:hangingChars="108"/>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2.广东省动物饲养场、养殖小区、动物隔离场所动物防疫条件选址综合评估表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1943" w:leftChars="507" w:right="0" w:rightChars="0" w:hanging="341" w:hangingChars="108"/>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3.广东省动物屠宰加工场所、动物和动物产品无害化处理场所选址综合评估表</w:t>
      </w:r>
    </w:p>
    <w:p>
      <w:pPr>
        <w:widowControl w:val="0"/>
        <w:numPr>
          <w:ilvl w:val="0"/>
          <w:numId w:val="0"/>
        </w:numPr>
        <w:adjustRightInd w:val="0"/>
        <w:snapToGrid w:val="0"/>
        <w:spacing w:beforeLines="0" w:afterLines="0" w:line="540" w:lineRule="exact"/>
        <w:ind w:left="1943" w:leftChars="507" w:hanging="341" w:hangingChars="108"/>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xml:space="preserve">     </w:t>
      </w:r>
    </w:p>
    <w:p>
      <w:pPr>
        <w:pStyle w:val="2"/>
        <w:adjustRightInd w:val="0"/>
        <w:snapToGrid w:val="0"/>
        <w:spacing w:beforeLines="0" w:afterLines="0" w:line="540" w:lineRule="exact"/>
        <w:ind w:firstLine="632"/>
        <w:rPr>
          <w:rFonts w:hint="eastAsia" w:ascii="仿宋_GB2312" w:hAnsi="仿宋_GB2312" w:eastAsia="仿宋_GB2312" w:cs="仿宋_GB2312"/>
          <w:sz w:val="32"/>
          <w:szCs w:val="32"/>
          <w:lang w:val="en-US" w:eastAsia="zh-CN"/>
        </w:rPr>
      </w:pPr>
    </w:p>
    <w:p>
      <w:pPr>
        <w:numPr>
          <w:ilvl w:val="0"/>
          <w:numId w:val="0"/>
        </w:numPr>
        <w:adjustRightInd w:val="0"/>
        <w:snapToGrid w:val="0"/>
        <w:spacing w:beforeLines="0" w:afterLines="0" w:line="540" w:lineRule="exact"/>
        <w:ind w:firstLine="0" w:firstLineChars="0"/>
        <w:jc w:val="both"/>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br w:type="page"/>
      </w:r>
      <w:r>
        <w:rPr>
          <w:rFonts w:hint="eastAsia" w:ascii="黑体" w:hAnsi="黑体" w:eastAsia="黑体" w:cs="黑体"/>
          <w:sz w:val="32"/>
          <w:szCs w:val="32"/>
          <w:lang w:val="en-US" w:eastAsia="zh-CN"/>
        </w:rPr>
        <w:t>附表1</w:t>
      </w:r>
    </w:p>
    <w:p>
      <w:pPr>
        <w:numPr>
          <w:ilvl w:val="0"/>
          <w:numId w:val="0"/>
        </w:numPr>
        <w:spacing w:beforeLines="0" w:afterLines="0" w:line="590" w:lineRule="exact"/>
        <w:jc w:val="center"/>
        <w:rPr>
          <w:rFonts w:hint="eastAsia" w:ascii="方正小标宋简体" w:hAnsi="方正小标宋简体" w:eastAsia="方正小标宋简体" w:cs="方正小标宋简体"/>
          <w:sz w:val="36"/>
          <w:szCs w:val="36"/>
          <w:lang w:val="en-US" w:eastAsia="zh-CN"/>
        </w:rPr>
      </w:pPr>
    </w:p>
    <w:p>
      <w:pPr>
        <w:numPr>
          <w:ilvl w:val="0"/>
          <w:numId w:val="0"/>
        </w:numPr>
        <w:spacing w:beforeLines="0" w:afterLines="0"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广东省动物防疫条件审查场所选址</w:t>
      </w:r>
    </w:p>
    <w:p>
      <w:pPr>
        <w:numPr>
          <w:ilvl w:val="0"/>
          <w:numId w:val="0"/>
        </w:numPr>
        <w:spacing w:beforeLines="0" w:afterLines="0"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综合评估申请表</w:t>
      </w:r>
    </w:p>
    <w:p>
      <w:pPr>
        <w:pStyle w:val="6"/>
        <w:rPr>
          <w:rFonts w:hint="eastAsia"/>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018"/>
        <w:gridCol w:w="1408"/>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5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申请单位</w:t>
            </w:r>
          </w:p>
        </w:tc>
        <w:tc>
          <w:tcPr>
            <w:tcW w:w="301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c>
          <w:tcPr>
            <w:tcW w:w="140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法人</w:t>
            </w:r>
          </w:p>
          <w:p>
            <w:pPr>
              <w:adjustRightInd w:val="0"/>
              <w:snapToGrid w:val="0"/>
              <w:spacing w:beforeLines="0" w:afterLines="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（负责人）</w:t>
            </w:r>
          </w:p>
        </w:tc>
        <w:tc>
          <w:tcPr>
            <w:tcW w:w="2756"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5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联系人</w:t>
            </w:r>
          </w:p>
        </w:tc>
        <w:tc>
          <w:tcPr>
            <w:tcW w:w="301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c>
          <w:tcPr>
            <w:tcW w:w="140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756"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5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真</w:t>
            </w:r>
          </w:p>
        </w:tc>
        <w:tc>
          <w:tcPr>
            <w:tcW w:w="301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c>
          <w:tcPr>
            <w:tcW w:w="140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箱</w:t>
            </w:r>
          </w:p>
        </w:tc>
        <w:tc>
          <w:tcPr>
            <w:tcW w:w="2756"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5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址</w:t>
            </w:r>
          </w:p>
        </w:tc>
        <w:tc>
          <w:tcPr>
            <w:tcW w:w="301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c>
          <w:tcPr>
            <w:tcW w:w="1408"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经纬度</w:t>
            </w:r>
          </w:p>
        </w:tc>
        <w:tc>
          <w:tcPr>
            <w:tcW w:w="2756"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申请</w:t>
            </w:r>
            <w:r>
              <w:rPr>
                <w:rFonts w:hint="eastAsia" w:ascii="仿宋_GB2312" w:hAnsi="仿宋_GB2312" w:eastAsia="仿宋_GB2312" w:cs="仿宋_GB2312"/>
                <w:sz w:val="24"/>
                <w:szCs w:val="24"/>
              </w:rPr>
              <w:t>场</w:t>
            </w:r>
            <w:r>
              <w:rPr>
                <w:rFonts w:hint="eastAsia" w:ascii="仿宋_GB2312" w:hAnsi="仿宋_GB2312" w:eastAsia="仿宋_GB2312" w:cs="仿宋_GB2312"/>
                <w:sz w:val="24"/>
                <w:szCs w:val="24"/>
                <w:lang w:eastAsia="zh-CN"/>
              </w:rPr>
              <w:t>所</w:t>
            </w:r>
            <w:r>
              <w:rPr>
                <w:rFonts w:hint="eastAsia" w:ascii="仿宋_GB2312" w:hAnsi="仿宋_GB2312" w:eastAsia="仿宋_GB2312" w:cs="仿宋_GB2312"/>
                <w:sz w:val="24"/>
                <w:szCs w:val="24"/>
              </w:rPr>
              <w:t>类别</w:t>
            </w:r>
          </w:p>
        </w:tc>
        <w:tc>
          <w:tcPr>
            <w:tcW w:w="7182" w:type="dxa"/>
            <w:gridSpan w:val="3"/>
            <w:noWrap w:val="0"/>
            <w:vAlign w:val="center"/>
          </w:tcPr>
          <w:p>
            <w:pPr>
              <w:adjustRightInd w:val="0"/>
              <w:snapToGrid w:val="0"/>
              <w:spacing w:beforeLines="0" w:afterLines="0"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动物</w:t>
            </w:r>
            <w:r>
              <w:rPr>
                <w:rFonts w:hint="eastAsia" w:ascii="仿宋_GB2312" w:hAnsi="仿宋_GB2312" w:eastAsia="仿宋_GB2312" w:cs="仿宋_GB2312"/>
                <w:sz w:val="24"/>
                <w:szCs w:val="24"/>
              </w:rPr>
              <w:t>饲养场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养殖小区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□动物隔离场所</w:t>
            </w:r>
            <w:r>
              <w:rPr>
                <w:rFonts w:hint="eastAsia" w:ascii="仿宋_GB2312" w:hAnsi="仿宋_GB2312" w:eastAsia="仿宋_GB2312" w:cs="仿宋_GB2312"/>
                <w:sz w:val="24"/>
                <w:szCs w:val="24"/>
                <w:lang w:val="en-US" w:eastAsia="zh-CN"/>
              </w:rPr>
              <w:t xml:space="preserve">  </w:t>
            </w:r>
          </w:p>
          <w:p>
            <w:pPr>
              <w:adjustRightInd w:val="0"/>
              <w:snapToGrid w:val="0"/>
              <w:spacing w:beforeLines="0" w:afterLines="0"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□动物屠宰加工场</w:t>
            </w:r>
            <w:r>
              <w:rPr>
                <w:rFonts w:hint="eastAsia" w:ascii="仿宋_GB2312" w:hAnsi="仿宋_GB2312" w:eastAsia="仿宋_GB2312" w:cs="仿宋_GB2312"/>
                <w:sz w:val="24"/>
                <w:szCs w:val="24"/>
                <w:lang w:eastAsia="zh-CN"/>
              </w:rPr>
              <w:t>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□动物和动物产品无害化处理场</w:t>
            </w:r>
            <w:r>
              <w:rPr>
                <w:rFonts w:hint="eastAsia" w:ascii="仿宋_GB2312" w:hAnsi="仿宋_GB2312" w:eastAsia="仿宋_GB2312" w:cs="仿宋_GB2312"/>
                <w:sz w:val="24"/>
                <w:szCs w:val="24"/>
                <w:lang w:eastAsia="zh-CN"/>
              </w:rPr>
              <w:t>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1850" w:type="dxa"/>
            <w:noWrap w:val="0"/>
            <w:vAlign w:val="center"/>
          </w:tcPr>
          <w:p>
            <w:pPr>
              <w:adjustRightInd w:val="0"/>
              <w:snapToGrid w:val="0"/>
              <w:spacing w:beforeLines="0" w:afterLines="0" w:line="240" w:lineRule="auto"/>
              <w:jc w:val="center"/>
              <w:rPr>
                <w:rFonts w:hint="eastAsia" w:ascii="黑体" w:hAnsi="黑体" w:eastAsia="黑体" w:cs="黑体"/>
                <w:color w:val="000000"/>
                <w:sz w:val="24"/>
                <w:szCs w:val="24"/>
                <w:lang w:eastAsia="zh-CN"/>
              </w:rPr>
            </w:pPr>
            <w:r>
              <w:rPr>
                <w:rFonts w:hint="eastAsia" w:ascii="仿宋_GB2312" w:hAnsi="仿宋_GB2312" w:eastAsia="仿宋_GB2312" w:cs="仿宋_GB2312"/>
                <w:b w:val="0"/>
                <w:bCs w:val="0"/>
                <w:kern w:val="2"/>
                <w:sz w:val="24"/>
                <w:szCs w:val="24"/>
                <w:lang w:eastAsia="zh-CN"/>
              </w:rPr>
              <w:t>提供材料清单</w:t>
            </w:r>
          </w:p>
        </w:tc>
        <w:tc>
          <w:tcPr>
            <w:tcW w:w="7182" w:type="dxa"/>
            <w:gridSpan w:val="3"/>
            <w:noWrap w:val="0"/>
            <w:vAlign w:val="center"/>
          </w:tcPr>
          <w:p>
            <w:pPr>
              <w:adjustRightInd w:val="0"/>
              <w:snapToGrid w:val="0"/>
              <w:spacing w:beforeLines="0" w:afterLines="0"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1.拟建</w:t>
            </w:r>
            <w:r>
              <w:rPr>
                <w:rFonts w:hint="eastAsia" w:ascii="仿宋_GB2312" w:hAnsi="仿宋_GB2312" w:eastAsia="仿宋_GB2312" w:cs="仿宋_GB2312"/>
                <w:sz w:val="24"/>
                <w:szCs w:val="24"/>
                <w:lang w:eastAsia="zh-CN"/>
              </w:rPr>
              <w:t>场所所在县（市、区）地图（标注场所具体地址及经纬度、禁养区分布）；</w:t>
            </w:r>
          </w:p>
          <w:p>
            <w:pPr>
              <w:adjustRightInd w:val="0"/>
              <w:snapToGrid w:val="0"/>
              <w:spacing w:beforeLines="0" w:afterLines="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2.拟建</w:t>
            </w:r>
            <w:r>
              <w:rPr>
                <w:rFonts w:hint="eastAsia" w:ascii="仿宋_GB2312" w:hAnsi="仿宋_GB2312" w:eastAsia="仿宋_GB2312" w:cs="仿宋_GB2312"/>
                <w:sz w:val="24"/>
                <w:szCs w:val="24"/>
                <w:lang w:eastAsia="zh-CN"/>
              </w:rPr>
              <w:t>场所地址及周边地图（标明周边半径</w:t>
            </w:r>
            <w:r>
              <w:rPr>
                <w:rFonts w:hint="eastAsia" w:ascii="仿宋_GB2312" w:hAnsi="仿宋_GB2312" w:eastAsia="仿宋_GB2312" w:cs="仿宋_GB2312"/>
                <w:sz w:val="24"/>
                <w:szCs w:val="24"/>
                <w:lang w:val="en-US" w:eastAsia="zh-CN"/>
              </w:rPr>
              <w:t>三公里范围内动物饲养场、养殖小区、动物隔离场所、动物屠宰加工场所、</w:t>
            </w:r>
            <w:r>
              <w:rPr>
                <w:rFonts w:hint="eastAsia" w:ascii="仿宋_GB2312" w:hAnsi="仿宋_GB2312" w:eastAsia="仿宋_GB2312" w:cs="仿宋_GB2312"/>
                <w:sz w:val="24"/>
                <w:szCs w:val="24"/>
                <w:lang w:eastAsia="zh-CN"/>
              </w:rPr>
              <w:t>动物诊疗场所、动物</w:t>
            </w:r>
            <w:r>
              <w:rPr>
                <w:rFonts w:hint="eastAsia" w:ascii="仿宋_GB2312" w:hAnsi="仿宋_GB2312" w:eastAsia="仿宋_GB2312" w:cs="仿宋_GB2312"/>
                <w:sz w:val="24"/>
                <w:szCs w:val="24"/>
                <w:lang w:val="en-US" w:eastAsia="zh-CN"/>
              </w:rPr>
              <w:t>和动物产品集贸市场及动物和动物产品无害化处理场所，</w:t>
            </w:r>
            <w:r>
              <w:rPr>
                <w:rFonts w:hint="eastAsia" w:ascii="仿宋_GB2312" w:hAnsi="仿宋_GB2312" w:eastAsia="仿宋_GB2312" w:cs="仿宋_GB2312"/>
                <w:sz w:val="24"/>
                <w:szCs w:val="24"/>
                <w:lang w:eastAsia="zh-CN"/>
              </w:rPr>
              <w:t>居民生活区、生活饮用水水源地、学校、医院等公共场所</w:t>
            </w:r>
            <w:r>
              <w:rPr>
                <w:rFonts w:hint="eastAsia" w:ascii="仿宋_GB2312" w:hAnsi="仿宋_GB2312" w:eastAsia="仿宋_GB2312" w:cs="仿宋_GB2312"/>
                <w:kern w:val="2"/>
                <w:sz w:val="24"/>
                <w:szCs w:val="24"/>
                <w:lang w:eastAsia="zh-CN"/>
              </w:rPr>
              <w:t>分布及距离，</w:t>
            </w:r>
            <w:r>
              <w:rPr>
                <w:rFonts w:hint="eastAsia" w:ascii="仿宋_GB2312" w:hAnsi="仿宋_GB2312" w:eastAsia="仿宋_GB2312" w:cs="仿宋_GB2312"/>
                <w:sz w:val="24"/>
                <w:szCs w:val="24"/>
                <w:lang w:val="en-US" w:eastAsia="zh-CN"/>
              </w:rPr>
              <w:t>畜禽分布及数量，与周边场所自然屏障、人工屏障、道路情况</w:t>
            </w:r>
            <w:r>
              <w:rPr>
                <w:rFonts w:hint="eastAsia" w:ascii="仿宋_GB2312" w:hAnsi="仿宋_GB2312" w:eastAsia="仿宋_GB2312" w:cs="仿宋_GB2312"/>
                <w:sz w:val="24"/>
                <w:szCs w:val="24"/>
                <w:lang w:eastAsia="zh-CN"/>
              </w:rPr>
              <w:t>）；</w:t>
            </w:r>
          </w:p>
          <w:p>
            <w:pPr>
              <w:adjustRightInd w:val="0"/>
              <w:snapToGrid w:val="0"/>
              <w:spacing w:beforeLines="0" w:afterLines="0"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3.拟建</w:t>
            </w:r>
            <w:r>
              <w:rPr>
                <w:rFonts w:hint="eastAsia" w:ascii="仿宋_GB2312" w:hAnsi="仿宋_GB2312" w:eastAsia="仿宋_GB2312" w:cs="仿宋_GB2312"/>
                <w:sz w:val="24"/>
                <w:szCs w:val="24"/>
                <w:lang w:eastAsia="zh-CN"/>
              </w:rPr>
              <w:t>场所设计方案（包括养殖畜禽种类、设计规模、饲养模式、</w:t>
            </w:r>
            <w:r>
              <w:rPr>
                <w:rFonts w:hint="default" w:ascii="仿宋_GB2312" w:hAnsi="仿宋_GB2312" w:eastAsia="仿宋_GB2312" w:cs="仿宋_GB2312"/>
                <w:sz w:val="24"/>
                <w:szCs w:val="24"/>
                <w:lang w:val="en-US" w:eastAsia="zh-CN"/>
              </w:rPr>
              <w:t>各功能区布局平面图</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病死动物和病害动物产品无害化处理方式）；</w:t>
            </w:r>
          </w:p>
          <w:p>
            <w:pPr>
              <w:adjustRightInd w:val="0"/>
              <w:snapToGrid w:val="0"/>
              <w:spacing w:beforeLines="0" w:afterLines="0"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4.动物防疫措施简况（重点说明动物防疫人工屏障、动物防疫硬件设施建设、生物安全制度等情况）；</w:t>
            </w:r>
          </w:p>
          <w:p>
            <w:pPr>
              <w:adjustRightInd w:val="0"/>
              <w:snapToGrid w:val="0"/>
              <w:spacing w:beforeLines="0" w:afterLines="0"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5.申请人身份证复印件（申请单位法人资格证明）。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9032" w:type="dxa"/>
            <w:gridSpan w:val="4"/>
            <w:noWrap w:val="0"/>
            <w:vAlign w:val="center"/>
          </w:tcPr>
          <w:p>
            <w:pPr>
              <w:numPr>
                <w:ilvl w:val="0"/>
                <w:numId w:val="0"/>
              </w:numPr>
              <w:adjustRightInd w:val="0"/>
              <w:snapToGrid w:val="0"/>
              <w:spacing w:beforeLines="0" w:afterLines="0" w:line="240" w:lineRule="auto"/>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本单位自愿申请场所选址距离确认评估，并对申请材料的真实性和准确性负责。</w:t>
            </w:r>
          </w:p>
          <w:p>
            <w:pPr>
              <w:numPr>
                <w:ilvl w:val="0"/>
                <w:numId w:val="0"/>
              </w:numPr>
              <w:adjustRightInd w:val="0"/>
              <w:snapToGrid w:val="0"/>
              <w:spacing w:beforeLines="0" w:afterLines="0"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numPr>
                <w:ilvl w:val="0"/>
                <w:numId w:val="0"/>
              </w:numPr>
              <w:adjustRightInd w:val="0"/>
              <w:snapToGrid w:val="0"/>
              <w:spacing w:beforeLines="0" w:afterLines="0" w:line="240" w:lineRule="auto"/>
              <w:jc w:val="left"/>
              <w:rPr>
                <w:rFonts w:hint="eastAsia" w:ascii="仿宋_GB2312" w:hAnsi="仿宋_GB2312" w:eastAsia="仿宋_GB2312" w:cs="仿宋_GB2312"/>
                <w:sz w:val="24"/>
                <w:szCs w:val="24"/>
                <w:lang w:val="en-US" w:eastAsia="zh-CN"/>
              </w:rPr>
            </w:pPr>
          </w:p>
          <w:p>
            <w:pPr>
              <w:numPr>
                <w:ilvl w:val="0"/>
                <w:numId w:val="0"/>
              </w:numPr>
              <w:adjustRightInd w:val="0"/>
              <w:snapToGrid w:val="0"/>
              <w:spacing w:beforeLines="0" w:afterLines="0" w:line="240" w:lineRule="auto"/>
              <w:jc w:val="left"/>
              <w:rPr>
                <w:rFonts w:hint="eastAsia" w:ascii="仿宋_GB2312" w:hAnsi="仿宋_GB2312" w:eastAsia="仿宋_GB2312" w:cs="仿宋_GB2312"/>
                <w:sz w:val="24"/>
                <w:szCs w:val="24"/>
                <w:lang w:val="en-US" w:eastAsia="zh-CN"/>
              </w:rPr>
            </w:pPr>
          </w:p>
          <w:p>
            <w:pPr>
              <w:numPr>
                <w:ilvl w:val="0"/>
                <w:numId w:val="0"/>
              </w:numPr>
              <w:adjustRightInd w:val="0"/>
              <w:snapToGrid w:val="0"/>
              <w:spacing w:beforeLines="0" w:afterLines="0" w:line="240" w:lineRule="auto"/>
              <w:jc w:val="left"/>
              <w:rPr>
                <w:rFonts w:hint="eastAsia" w:ascii="仿宋_GB2312" w:hAnsi="仿宋_GB2312" w:eastAsia="仿宋_GB2312" w:cs="仿宋_GB2312"/>
                <w:sz w:val="24"/>
                <w:szCs w:val="24"/>
                <w:lang w:val="en-US" w:eastAsia="zh-CN"/>
              </w:rPr>
            </w:pPr>
          </w:p>
          <w:p>
            <w:pPr>
              <w:numPr>
                <w:ilvl w:val="0"/>
                <w:numId w:val="0"/>
              </w:numPr>
              <w:adjustRightInd w:val="0"/>
              <w:snapToGrid w:val="0"/>
              <w:spacing w:beforeLines="0" w:afterLines="0" w:line="240" w:lineRule="auto"/>
              <w:ind w:firstLine="828" w:firstLineChars="3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负责人（签名）：                   申请单位（盖章）：</w:t>
            </w:r>
          </w:p>
          <w:p>
            <w:pPr>
              <w:numPr>
                <w:ilvl w:val="0"/>
                <w:numId w:val="0"/>
              </w:numPr>
              <w:adjustRightInd w:val="0"/>
              <w:snapToGrid w:val="0"/>
              <w:spacing w:beforeLines="0" w:afterLines="0" w:line="240" w:lineRule="auto"/>
              <w:ind w:firstLine="5796" w:firstLineChars="2100"/>
              <w:jc w:val="left"/>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年  月  日</w:t>
            </w:r>
          </w:p>
        </w:tc>
      </w:tr>
    </w:tbl>
    <w:p>
      <w:pPr>
        <w:keepNext w:val="0"/>
        <w:keepLines w:val="0"/>
        <w:pageBreakBefore w:val="0"/>
        <w:widowControl w:val="0"/>
        <w:tabs>
          <w:tab w:val="left" w:pos="6002"/>
        </w:tabs>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numPr>
          <w:ilvl w:val="0"/>
          <w:numId w:val="0"/>
        </w:numPr>
        <w:spacing w:beforeLines="0" w:afterLines="0" w:line="590" w:lineRule="exact"/>
        <w:jc w:val="both"/>
        <w:rPr>
          <w:rFonts w:hint="eastAsia" w:ascii="黑体" w:hAnsi="黑体" w:eastAsia="黑体" w:cs="黑体"/>
          <w:sz w:val="32"/>
          <w:szCs w:val="32"/>
          <w:lang w:val="en-US" w:eastAsia="zh-CN"/>
        </w:rPr>
        <w:sectPr>
          <w:footerReference r:id="rId4" w:type="first"/>
          <w:footerReference r:id="rId3" w:type="default"/>
          <w:pgSz w:w="11906" w:h="16838"/>
          <w:pgMar w:top="1871" w:right="1531" w:bottom="1871" w:left="1531" w:header="851" w:footer="1418" w:gutter="0"/>
          <w:pgNumType w:fmt="decimal"/>
          <w:cols w:space="720" w:num="1"/>
          <w:titlePg/>
          <w:docGrid w:type="linesAndChars" w:linePitch="590" w:charSpace="-1024"/>
        </w:sect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w:t>
      </w:r>
    </w:p>
    <w:p>
      <w:pPr>
        <w:pStyle w:val="3"/>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广东省动物饲养场、养殖小区、动物隔离场所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动物防疫条件选址综合评估表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667"/>
        <w:gridCol w:w="1991"/>
        <w:gridCol w:w="1134"/>
        <w:gridCol w:w="1254"/>
        <w:gridCol w:w="685"/>
        <w:gridCol w:w="734"/>
        <w:gridCol w:w="654"/>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lang w:eastAsia="zh-CN"/>
              </w:rPr>
            </w:pPr>
            <w:r>
              <w:rPr>
                <w:rFonts w:hint="eastAsia" w:ascii="仿宋_GB2312" w:hAnsi="仿宋_GB2312" w:eastAsia="仿宋_GB2312" w:cs="仿宋_GB2312"/>
                <w:color w:val="000000"/>
                <w:spacing w:val="0"/>
                <w:w w:val="100"/>
                <w:sz w:val="21"/>
                <w:szCs w:val="21"/>
                <w:lang w:eastAsia="zh-CN"/>
              </w:rPr>
              <w:t>申请单位</w:t>
            </w:r>
          </w:p>
        </w:tc>
        <w:tc>
          <w:tcPr>
            <w:tcW w:w="312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25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负</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责</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人</w:t>
            </w:r>
          </w:p>
        </w:tc>
        <w:tc>
          <w:tcPr>
            <w:tcW w:w="2801"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sz w:val="21"/>
                <w:szCs w:val="21"/>
                <w:lang w:eastAsia="zh-CN"/>
              </w:rPr>
              <w:t>建设地点</w:t>
            </w:r>
          </w:p>
        </w:tc>
        <w:tc>
          <w:tcPr>
            <w:tcW w:w="312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25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lang w:eastAsia="zh-CN"/>
              </w:rPr>
            </w:pPr>
            <w:r>
              <w:rPr>
                <w:rFonts w:hint="eastAsia" w:ascii="仿宋_GB2312" w:hAnsi="仿宋_GB2312" w:eastAsia="仿宋_GB2312" w:cs="仿宋_GB2312"/>
                <w:color w:val="000000"/>
                <w:spacing w:val="0"/>
                <w:w w:val="100"/>
                <w:sz w:val="21"/>
                <w:szCs w:val="21"/>
                <w:lang w:eastAsia="zh-CN"/>
              </w:rPr>
              <w:t>经</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lang w:eastAsia="zh-CN"/>
              </w:rPr>
              <w:t>纬</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lang w:eastAsia="zh-CN"/>
              </w:rPr>
              <w:t>度</w:t>
            </w:r>
          </w:p>
        </w:tc>
        <w:tc>
          <w:tcPr>
            <w:tcW w:w="2801"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联</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系</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人</w:t>
            </w:r>
          </w:p>
        </w:tc>
        <w:tc>
          <w:tcPr>
            <w:tcW w:w="312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25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联系电话</w:t>
            </w:r>
          </w:p>
        </w:tc>
        <w:tc>
          <w:tcPr>
            <w:tcW w:w="2801"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76"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场所类别</w:t>
            </w:r>
          </w:p>
        </w:tc>
        <w:tc>
          <w:tcPr>
            <w:tcW w:w="7180" w:type="dxa"/>
            <w:gridSpan w:val="7"/>
            <w:noWrap w:val="0"/>
            <w:vAlign w:val="center"/>
          </w:tcPr>
          <w:p>
            <w:pPr>
              <w:adjustRightInd w:val="0"/>
              <w:snapToGrid w:val="0"/>
              <w:spacing w:beforeLines="0" w:afterLines="0" w:line="240" w:lineRule="auto"/>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动物</w:t>
            </w:r>
            <w:r>
              <w:rPr>
                <w:rFonts w:hint="eastAsia" w:ascii="仿宋_GB2312" w:hAnsi="仿宋_GB2312" w:eastAsia="仿宋_GB2312" w:cs="仿宋_GB2312"/>
                <w:sz w:val="21"/>
                <w:szCs w:val="21"/>
              </w:rPr>
              <w:t>饲养场</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养殖小区</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□动物隔离场所</w:t>
            </w:r>
            <w:r>
              <w:rPr>
                <w:rFonts w:hint="eastAsia" w:ascii="仿宋_GB2312" w:hAnsi="仿宋_GB2312" w:eastAsia="仿宋_GB2312" w:cs="仿宋_GB231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项目</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编号</w:t>
            </w:r>
          </w:p>
        </w:tc>
        <w:tc>
          <w:tcPr>
            <w:tcW w:w="1991"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评估内容</w:t>
            </w:r>
          </w:p>
        </w:tc>
        <w:tc>
          <w:tcPr>
            <w:tcW w:w="3073" w:type="dxa"/>
            <w:gridSpan w:val="3"/>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核查形式</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分值</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得分</w:t>
            </w:r>
          </w:p>
        </w:tc>
        <w:tc>
          <w:tcPr>
            <w:tcW w:w="728"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val="0"/>
                <w:bCs w:val="0"/>
                <w:color w:val="000000"/>
                <w:spacing w:val="0"/>
                <w:w w:val="100"/>
                <w:kern w:val="0"/>
                <w:sz w:val="21"/>
                <w:szCs w:val="21"/>
              </w:rPr>
            </w:pPr>
            <w:r>
              <w:rPr>
                <w:rFonts w:hint="eastAsia" w:ascii="仿宋_GB2312" w:hAnsi="仿宋_GB2312" w:eastAsia="仿宋_GB2312" w:cs="仿宋_GB2312"/>
                <w:b w:val="0"/>
                <w:bCs w:val="0"/>
                <w:color w:val="000000"/>
                <w:spacing w:val="0"/>
                <w:w w:val="100"/>
                <w:kern w:val="0"/>
                <w:sz w:val="21"/>
                <w:szCs w:val="21"/>
              </w:rPr>
              <w:t>天然屏障</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w:t>
            </w:r>
          </w:p>
        </w:tc>
        <w:tc>
          <w:tcPr>
            <w:tcW w:w="1991"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周边的天然屏障（如河流、山脉等）</w:t>
            </w:r>
          </w:p>
        </w:tc>
        <w:tc>
          <w:tcPr>
            <w:tcW w:w="3073" w:type="dxa"/>
            <w:gridSpan w:val="3"/>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查看周边有无</w:t>
            </w:r>
            <w:r>
              <w:rPr>
                <w:rFonts w:hint="eastAsia" w:ascii="仿宋_GB2312" w:hAnsi="仿宋_GB2312" w:eastAsia="仿宋_GB2312" w:cs="仿宋_GB2312"/>
                <w:sz w:val="21"/>
                <w:szCs w:val="21"/>
              </w:rPr>
              <w:t>山峦（山峰、山丘）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河流（湖泊</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水库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沟壑）</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林地、田地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水塘、溪流</w:t>
            </w:r>
            <w:r>
              <w:rPr>
                <w:rFonts w:hint="eastAsia" w:ascii="仿宋_GB2312" w:hAnsi="仿宋_GB2312" w:eastAsia="仿宋_GB2312" w:cs="仿宋_GB2312"/>
                <w:color w:val="000000"/>
                <w:spacing w:val="0"/>
                <w:w w:val="100"/>
                <w:kern w:val="0"/>
                <w:sz w:val="21"/>
                <w:szCs w:val="21"/>
              </w:rPr>
              <w:t>等隔断。根据隔断的有效性评分。</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lang w:val="en-US" w:eastAsia="zh-CN"/>
              </w:rPr>
              <w:t>1</w:t>
            </w:r>
            <w:r>
              <w:rPr>
                <w:rFonts w:hint="eastAsia" w:ascii="仿宋_GB2312" w:hAnsi="仿宋_GB2312" w:eastAsia="仿宋_GB2312" w:cs="仿宋_GB2312"/>
                <w:color w:val="000000"/>
                <w:spacing w:val="0"/>
                <w:w w:val="100"/>
                <w:kern w:val="0"/>
                <w:sz w:val="21"/>
                <w:szCs w:val="21"/>
              </w:rPr>
              <w:t>0</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val="0"/>
                <w:bCs w:val="0"/>
                <w:color w:val="000000"/>
                <w:spacing w:val="0"/>
                <w:w w:val="100"/>
                <w:kern w:val="0"/>
                <w:sz w:val="21"/>
                <w:szCs w:val="21"/>
              </w:rPr>
            </w:pPr>
            <w:r>
              <w:rPr>
                <w:rFonts w:hint="eastAsia" w:ascii="仿宋_GB2312" w:hAnsi="仿宋_GB2312" w:eastAsia="仿宋_GB2312" w:cs="仿宋_GB2312"/>
                <w:b w:val="0"/>
                <w:bCs w:val="0"/>
                <w:color w:val="000000"/>
                <w:spacing w:val="0"/>
                <w:w w:val="100"/>
                <w:kern w:val="0"/>
                <w:sz w:val="21"/>
                <w:szCs w:val="21"/>
              </w:rPr>
              <w:t>人工屏障</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2</w:t>
            </w:r>
          </w:p>
        </w:tc>
        <w:tc>
          <w:tcPr>
            <w:tcW w:w="1991"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具有防疫壕沟、围墙、密闭挡板等物理隔离的人工屏障</w:t>
            </w:r>
          </w:p>
        </w:tc>
        <w:tc>
          <w:tcPr>
            <w:tcW w:w="307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建有</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米以上高度实体围墙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可防止人员及畜禽随意进入的栅拦围栏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auto"/>
                <w:sz w:val="21"/>
                <w:szCs w:val="21"/>
                <w:lang w:val="en-US" w:eastAsia="zh-CN"/>
              </w:rPr>
              <w:t>装备空气过滤系</w:t>
            </w:r>
            <w:r>
              <w:rPr>
                <w:rFonts w:hint="eastAsia" w:ascii="仿宋_GB2312" w:hAnsi="仿宋_GB2312" w:eastAsia="仿宋_GB2312" w:cs="仿宋_GB2312"/>
                <w:color w:val="auto"/>
                <w:sz w:val="21"/>
                <w:szCs w:val="21"/>
                <w:highlight w:val="none"/>
                <w:lang w:val="en-US" w:eastAsia="zh-CN"/>
              </w:rPr>
              <w:t>统，</w:t>
            </w:r>
            <w:r>
              <w:rPr>
                <w:rFonts w:hint="eastAsia" w:ascii="仿宋_GB2312" w:hAnsi="仿宋_GB2312" w:eastAsia="仿宋_GB2312" w:cs="仿宋_GB2312"/>
                <w:color w:val="000000"/>
                <w:spacing w:val="0"/>
                <w:w w:val="100"/>
                <w:kern w:val="0"/>
                <w:sz w:val="21"/>
                <w:szCs w:val="21"/>
              </w:rPr>
              <w:t>根据隔断效果综合评估给分。</w:t>
            </w:r>
          </w:p>
          <w:p>
            <w:pPr>
              <w:adjustRightInd w:val="0"/>
              <w:snapToGrid w:val="0"/>
              <w:spacing w:beforeLines="0" w:afterLines="0" w:line="240" w:lineRule="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本项采用承诺方式评分</w:t>
            </w:r>
            <w:r>
              <w:rPr>
                <w:rFonts w:hint="eastAsia" w:ascii="仿宋_GB2312" w:hAnsi="仿宋_GB2312" w:eastAsia="仿宋_GB2312" w:cs="仿宋_GB2312"/>
                <w:color w:val="auto"/>
                <w:sz w:val="21"/>
                <w:szCs w:val="21"/>
                <w:highlight w:val="none"/>
                <w:lang w:val="en-US" w:eastAsia="zh-CN"/>
              </w:rPr>
              <w:t>，被评估场所负责人签名：</w:t>
            </w:r>
          </w:p>
          <w:p>
            <w:pPr>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auto"/>
                <w:sz w:val="21"/>
                <w:szCs w:val="21"/>
                <w:highlight w:val="none"/>
                <w:lang w:val="en-US" w:eastAsia="zh-CN"/>
              </w:rPr>
              <w:t xml:space="preserve">           ）</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20</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209" w:type="dxa"/>
            <w:vMerge w:val="restart"/>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val="0"/>
                <w:bCs w:val="0"/>
                <w:color w:val="000000"/>
                <w:spacing w:val="0"/>
                <w:w w:val="100"/>
                <w:kern w:val="0"/>
                <w:sz w:val="21"/>
                <w:szCs w:val="21"/>
                <w:lang w:eastAsia="zh-CN"/>
              </w:rPr>
            </w:pPr>
            <w:r>
              <w:rPr>
                <w:rFonts w:hint="eastAsia" w:ascii="仿宋_GB2312" w:hAnsi="仿宋_GB2312" w:eastAsia="仿宋_GB2312" w:cs="仿宋_GB2312"/>
                <w:b w:val="0"/>
                <w:bCs w:val="0"/>
                <w:color w:val="000000"/>
                <w:spacing w:val="0"/>
                <w:w w:val="100"/>
                <w:kern w:val="0"/>
                <w:sz w:val="21"/>
                <w:szCs w:val="21"/>
                <w:lang w:eastAsia="zh-CN"/>
              </w:rPr>
              <w:t>设施设备</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lang w:val="en-US" w:eastAsia="zh-CN"/>
              </w:rPr>
              <w:t>3</w:t>
            </w:r>
          </w:p>
        </w:tc>
        <w:tc>
          <w:tcPr>
            <w:tcW w:w="1991"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eastAsia="zh-CN"/>
              </w:rPr>
              <w:t>消毒设施</w:t>
            </w:r>
          </w:p>
        </w:tc>
        <w:tc>
          <w:tcPr>
            <w:tcW w:w="307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建设有车辆洗消中心（点），配有车辆冲洗消毒设备和高温干燥消毒房</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场区出入口建设有车辆和人员消毒通道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生产区出入口建设有车辆和人员消毒通道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每养殖栋舍出入口建设消毒池或消毒间（通道）</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被评估单位负责人员签名：</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 xml:space="preserve">          ）</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65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09" w:type="dxa"/>
            <w:vMerge w:val="continue"/>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4</w:t>
            </w:r>
          </w:p>
        </w:tc>
        <w:tc>
          <w:tcPr>
            <w:tcW w:w="1991"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具有病死畜禽无害化处理</w:t>
            </w:r>
            <w:r>
              <w:rPr>
                <w:rFonts w:hint="eastAsia" w:ascii="仿宋_GB2312" w:hAnsi="仿宋_GB2312" w:eastAsia="仿宋_GB2312" w:cs="仿宋_GB2312"/>
                <w:sz w:val="21"/>
                <w:szCs w:val="21"/>
                <w:lang w:eastAsia="zh-CN"/>
              </w:rPr>
              <w:t>能力</w:t>
            </w:r>
          </w:p>
        </w:tc>
        <w:tc>
          <w:tcPr>
            <w:tcW w:w="307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具有可以资源再利用的病死畜禽无害化处理设施设备</w:t>
            </w:r>
            <w:r>
              <w:rPr>
                <w:rFonts w:hint="eastAsia" w:ascii="仿宋_GB2312" w:hAnsi="仿宋_GB2312" w:eastAsia="仿宋_GB2312" w:cs="仿宋_GB2312"/>
                <w:sz w:val="21"/>
                <w:szCs w:val="21"/>
                <w:lang w:eastAsia="zh-CN"/>
              </w:rPr>
              <w:t>（化尸池除外）</w:t>
            </w:r>
            <w:r>
              <w:rPr>
                <w:rFonts w:hint="eastAsia" w:ascii="仿宋_GB2312" w:hAnsi="仿宋_GB2312" w:eastAsia="仿宋_GB2312" w:cs="仿宋_GB2312"/>
                <w:sz w:val="21"/>
                <w:szCs w:val="21"/>
              </w:rPr>
              <w:t>或委托有资质单位统一收集处理</w:t>
            </w:r>
            <w:r>
              <w:rPr>
                <w:rFonts w:hint="eastAsia" w:ascii="仿宋_GB2312" w:hAnsi="仿宋_GB2312" w:eastAsia="仿宋_GB2312" w:cs="仿宋_GB2312"/>
                <w:sz w:val="21"/>
                <w:szCs w:val="21"/>
                <w:lang w:eastAsia="zh-CN"/>
              </w:rPr>
              <w:t>（冷藏冷冻等暂存设施设备）</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被评估单位负责人员签名：</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 xml:space="preserve">          ）</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饲养环境</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lang w:val="en-US" w:eastAsia="zh-CN"/>
              </w:rPr>
              <w:t>5</w:t>
            </w:r>
          </w:p>
        </w:tc>
        <w:tc>
          <w:tcPr>
            <w:tcW w:w="1991"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周边环境的复杂程度</w:t>
            </w:r>
          </w:p>
        </w:tc>
        <w:tc>
          <w:tcPr>
            <w:tcW w:w="3073" w:type="dxa"/>
            <w:gridSpan w:val="3"/>
            <w:noWrap w:val="0"/>
            <w:vAlign w:val="center"/>
          </w:tcPr>
          <w:p>
            <w:pPr>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查看与周边居民、工业区、活畜禽交易市场、水源保护地、禁养区以及相关场所的距离与分布情况。综合评估给分。</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rPr>
              <w:t>1</w:t>
            </w:r>
            <w:r>
              <w:rPr>
                <w:rFonts w:hint="eastAsia" w:ascii="仿宋_GB2312" w:hAnsi="仿宋_GB2312" w:eastAsia="仿宋_GB2312" w:cs="仿宋_GB2312"/>
                <w:color w:val="000000"/>
                <w:spacing w:val="0"/>
                <w:w w:val="100"/>
                <w:kern w:val="0"/>
                <w:sz w:val="21"/>
                <w:szCs w:val="21"/>
                <w:lang w:val="en-US" w:eastAsia="zh-CN"/>
              </w:rPr>
              <w:t>0</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动物分布</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6</w:t>
            </w:r>
          </w:p>
        </w:tc>
        <w:tc>
          <w:tcPr>
            <w:tcW w:w="1991"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相关畜禽的分布与密度</w:t>
            </w:r>
          </w:p>
        </w:tc>
        <w:tc>
          <w:tcPr>
            <w:tcW w:w="3073" w:type="dxa"/>
            <w:gridSpan w:val="3"/>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查看周边3公里内畜禽的数量。综合评估给分。</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w:t>
            </w:r>
            <w:r>
              <w:rPr>
                <w:rFonts w:hint="eastAsia" w:ascii="仿宋_GB2312" w:hAnsi="仿宋_GB2312" w:eastAsia="仿宋_GB2312" w:cs="仿宋_GB2312"/>
                <w:color w:val="000000"/>
                <w:spacing w:val="0"/>
                <w:w w:val="100"/>
                <w:kern w:val="0"/>
                <w:sz w:val="21"/>
                <w:szCs w:val="21"/>
                <w:lang w:val="en-US" w:eastAsia="zh-CN"/>
              </w:rPr>
              <w:t>0</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209"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动物疫病的发生、流行状况</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7</w:t>
            </w:r>
          </w:p>
        </w:tc>
        <w:tc>
          <w:tcPr>
            <w:tcW w:w="1991"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kern w:val="0"/>
                <w:sz w:val="21"/>
                <w:szCs w:val="21"/>
              </w:rPr>
              <w:t>所在</w:t>
            </w:r>
            <w:r>
              <w:rPr>
                <w:rFonts w:hint="eastAsia" w:ascii="仿宋_GB2312" w:hAnsi="仿宋_GB2312" w:eastAsia="仿宋_GB2312" w:cs="仿宋_GB2312"/>
                <w:color w:val="000000"/>
                <w:spacing w:val="0"/>
                <w:w w:val="100"/>
                <w:kern w:val="0"/>
                <w:sz w:val="21"/>
                <w:szCs w:val="21"/>
                <w:lang w:eastAsia="zh-CN"/>
              </w:rPr>
              <w:t>地</w:t>
            </w:r>
            <w:r>
              <w:rPr>
                <w:rFonts w:hint="eastAsia" w:ascii="仿宋_GB2312" w:hAnsi="仿宋_GB2312" w:eastAsia="仿宋_GB2312" w:cs="仿宋_GB2312"/>
                <w:color w:val="000000"/>
                <w:spacing w:val="0"/>
                <w:w w:val="100"/>
                <w:kern w:val="0"/>
                <w:sz w:val="21"/>
                <w:szCs w:val="21"/>
              </w:rPr>
              <w:t>相关动物疫病的发生流行情况</w:t>
            </w:r>
          </w:p>
        </w:tc>
        <w:tc>
          <w:tcPr>
            <w:tcW w:w="3073" w:type="dxa"/>
            <w:gridSpan w:val="3"/>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查看所在</w:t>
            </w:r>
            <w:r>
              <w:rPr>
                <w:rFonts w:hint="eastAsia" w:ascii="仿宋_GB2312" w:hAnsi="仿宋_GB2312" w:eastAsia="仿宋_GB2312" w:cs="仿宋_GB2312"/>
                <w:color w:val="000000"/>
                <w:spacing w:val="0"/>
                <w:w w:val="100"/>
                <w:kern w:val="0"/>
                <w:sz w:val="21"/>
                <w:szCs w:val="21"/>
                <w:lang w:eastAsia="zh-CN"/>
              </w:rPr>
              <w:t>地</w:t>
            </w:r>
            <w:r>
              <w:rPr>
                <w:rFonts w:hint="eastAsia" w:ascii="仿宋_GB2312" w:hAnsi="仿宋_GB2312" w:eastAsia="仿宋_GB2312" w:cs="仿宋_GB2312"/>
                <w:color w:val="000000"/>
                <w:spacing w:val="0"/>
                <w:w w:val="100"/>
                <w:kern w:val="0"/>
                <w:sz w:val="21"/>
                <w:szCs w:val="21"/>
              </w:rPr>
              <w:t>动物疫病发生记录，了解当地流行情况，根据开办场所涉及的动物病种进行综合评估给分。</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10</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制度建设</w:t>
            </w:r>
          </w:p>
        </w:tc>
        <w:tc>
          <w:tcPr>
            <w:tcW w:w="66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8</w:t>
            </w:r>
          </w:p>
        </w:tc>
        <w:tc>
          <w:tcPr>
            <w:tcW w:w="1991"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建立生物安全管理制度</w:t>
            </w:r>
          </w:p>
        </w:tc>
        <w:tc>
          <w:tcPr>
            <w:tcW w:w="3073" w:type="dxa"/>
            <w:gridSpan w:val="3"/>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对拟（已）建立的生物安全管理制的科学性、可操作性以及运行效果进行综合评估给分。</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10</w:t>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40" w:type="dxa"/>
            <w:gridSpan w:val="6"/>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合</w:t>
            </w:r>
            <w:r>
              <w:rPr>
                <w:rFonts w:hint="eastAsia" w:ascii="仿宋_GB2312" w:hAnsi="仿宋_GB2312" w:eastAsia="仿宋_GB2312" w:cs="仿宋_GB2312"/>
                <w:color w:val="000000"/>
                <w:spacing w:val="0"/>
                <w:w w:val="100"/>
                <w:kern w:val="0"/>
                <w:sz w:val="21"/>
                <w:szCs w:val="21"/>
                <w:lang w:val="en-US" w:eastAsia="zh-CN"/>
              </w:rPr>
              <w:t xml:space="preserve">  </w:t>
            </w:r>
            <w:r>
              <w:rPr>
                <w:rFonts w:hint="eastAsia" w:ascii="仿宋_GB2312" w:hAnsi="仿宋_GB2312" w:eastAsia="仿宋_GB2312" w:cs="仿宋_GB2312"/>
                <w:color w:val="000000"/>
                <w:spacing w:val="0"/>
                <w:w w:val="100"/>
                <w:kern w:val="0"/>
                <w:sz w:val="21"/>
                <w:szCs w:val="21"/>
              </w:rPr>
              <w:t>计</w:t>
            </w:r>
          </w:p>
        </w:tc>
        <w:tc>
          <w:tcPr>
            <w:tcW w:w="73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fldChar w:fldCharType="begin"/>
            </w:r>
            <w:r>
              <w:rPr>
                <w:rFonts w:hint="eastAsia" w:ascii="仿宋_GB2312" w:hAnsi="仿宋_GB2312" w:eastAsia="仿宋_GB2312" w:cs="仿宋_GB2312"/>
                <w:color w:val="000000"/>
                <w:spacing w:val="0"/>
                <w:w w:val="100"/>
                <w:kern w:val="0"/>
                <w:sz w:val="21"/>
                <w:szCs w:val="21"/>
              </w:rPr>
              <w:instrText xml:space="preserve"> =SUM(ABOVE) \* MERGEFORMAT </w:instrText>
            </w:r>
            <w:r>
              <w:rPr>
                <w:rFonts w:hint="eastAsia" w:ascii="仿宋_GB2312" w:hAnsi="仿宋_GB2312" w:eastAsia="仿宋_GB2312" w:cs="仿宋_GB2312"/>
                <w:color w:val="000000"/>
                <w:spacing w:val="0"/>
                <w:w w:val="100"/>
                <w:kern w:val="0"/>
                <w:sz w:val="21"/>
                <w:szCs w:val="21"/>
              </w:rPr>
              <w:fldChar w:fldCharType="separate"/>
            </w:r>
            <w:r>
              <w:rPr>
                <w:rFonts w:hint="eastAsia" w:ascii="仿宋_GB2312" w:hAnsi="仿宋_GB2312" w:eastAsia="仿宋_GB2312" w:cs="仿宋_GB2312"/>
                <w:color w:val="000000"/>
                <w:spacing w:val="0"/>
                <w:w w:val="100"/>
                <w:kern w:val="0"/>
                <w:sz w:val="21"/>
                <w:szCs w:val="21"/>
              </w:rPr>
              <w:t>100</w:t>
            </w:r>
            <w:r>
              <w:rPr>
                <w:rFonts w:hint="eastAsia" w:ascii="仿宋_GB2312" w:hAnsi="仿宋_GB2312" w:eastAsia="仿宋_GB2312" w:cs="仿宋_GB2312"/>
                <w:color w:val="000000"/>
                <w:spacing w:val="0"/>
                <w:w w:val="100"/>
                <w:kern w:val="0"/>
                <w:sz w:val="21"/>
                <w:szCs w:val="21"/>
              </w:rPr>
              <w:fldChar w:fldCharType="end"/>
            </w:r>
          </w:p>
        </w:tc>
        <w:tc>
          <w:tcPr>
            <w:tcW w:w="65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28"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09"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eastAsia="zh-CN"/>
              </w:rPr>
              <w:t>评估结果</w:t>
            </w:r>
          </w:p>
        </w:tc>
        <w:tc>
          <w:tcPr>
            <w:tcW w:w="7847" w:type="dxa"/>
            <w:gridSpan w:val="8"/>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可以设立。</w:t>
            </w:r>
          </w:p>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不建议设立。原因：</w:t>
            </w:r>
            <w:r>
              <w:rPr>
                <w:rFonts w:hint="eastAsia" w:ascii="仿宋_GB2312" w:hAnsi="仿宋_GB2312" w:eastAsia="仿宋_GB2312" w:cs="仿宋_GB2312"/>
                <w:b w:val="0"/>
                <w:bCs w:val="0"/>
                <w:kern w:val="0"/>
                <w:sz w:val="21"/>
                <w:szCs w:val="21"/>
                <w:lang w:val="en-US" w:eastAsia="zh-CN"/>
              </w:rPr>
              <w:t xml:space="preserve">                                                 。</w:t>
            </w:r>
          </w:p>
          <w:p>
            <w:pPr>
              <w:adjustRightInd w:val="0"/>
              <w:snapToGrid w:val="0"/>
              <w:spacing w:beforeLines="0" w:afterLines="0" w:line="240" w:lineRule="auto"/>
              <w:ind w:left="0" w:firstLine="0" w:firstLineChars="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整改后设立。</w:t>
            </w:r>
            <w:r>
              <w:rPr>
                <w:rFonts w:hint="eastAsia" w:ascii="仿宋_GB2312" w:hAnsi="仿宋_GB2312" w:eastAsia="仿宋_GB2312" w:cs="仿宋_GB2312"/>
                <w:b w:val="0"/>
                <w:bCs w:val="0"/>
                <w:kern w:val="0"/>
                <w:sz w:val="21"/>
                <w:szCs w:val="21"/>
                <w:lang w:val="en-US" w:eastAsia="zh-CN"/>
              </w:rPr>
              <w:t xml:space="preserve">（整改措施：               </w:t>
            </w:r>
          </w:p>
          <w:p>
            <w:pPr>
              <w:adjustRightInd w:val="0"/>
              <w:snapToGrid w:val="0"/>
              <w:spacing w:beforeLines="0" w:afterLines="0" w:line="240" w:lineRule="auto"/>
              <w:ind w:left="0" w:firstLine="0" w:firstLineChars="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w:t>
            </w:r>
          </w:p>
          <w:p>
            <w:pPr>
              <w:adjustRightInd w:val="0"/>
              <w:snapToGrid w:val="0"/>
              <w:spacing w:beforeLines="0" w:afterLines="0" w:line="240" w:lineRule="auto"/>
              <w:ind w:firstLine="0" w:firstLineChars="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申请方确认签名：              ）</w:t>
            </w:r>
          </w:p>
          <w:p>
            <w:pPr>
              <w:adjustRightInd w:val="0"/>
              <w:snapToGrid w:val="0"/>
              <w:spacing w:beforeLines="0" w:afterLines="0" w:line="240" w:lineRule="auto"/>
              <w:jc w:val="both"/>
              <w:rPr>
                <w:rFonts w:hint="eastAsia" w:ascii="仿宋_GB2312" w:hAnsi="仿宋_GB2312" w:eastAsia="仿宋_GB2312" w:cs="仿宋_GB2312"/>
                <w:b w:val="0"/>
                <w:bCs w:val="0"/>
                <w:sz w:val="21"/>
                <w:szCs w:val="21"/>
              </w:rPr>
            </w:pPr>
          </w:p>
          <w:p>
            <w:pPr>
              <w:adjustRightInd w:val="0"/>
              <w:snapToGrid w:val="0"/>
              <w:spacing w:beforeLines="0" w:afterLines="0"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w:t>
            </w:r>
            <w:r>
              <w:rPr>
                <w:rFonts w:hint="eastAsia" w:ascii="仿宋_GB2312" w:hAnsi="仿宋_GB2312" w:eastAsia="仿宋_GB2312" w:cs="仿宋_GB2312"/>
                <w:b w:val="0"/>
                <w:bCs w:val="0"/>
                <w:kern w:val="0"/>
                <w:sz w:val="21"/>
                <w:szCs w:val="21"/>
                <w:lang w:val="en-US" w:eastAsia="zh-CN"/>
              </w:rPr>
              <w:t>签名</w:t>
            </w:r>
            <w:r>
              <w:rPr>
                <w:rFonts w:hint="eastAsia" w:ascii="仿宋_GB2312" w:hAnsi="仿宋_GB2312" w:eastAsia="仿宋_GB2312" w:cs="仿宋_GB2312"/>
                <w:b w:val="0"/>
                <w:bCs w:val="0"/>
                <w:sz w:val="21"/>
                <w:szCs w:val="21"/>
              </w:rPr>
              <w:t xml:space="preserve"> 组长：                  成员：</w:t>
            </w:r>
          </w:p>
          <w:p>
            <w:pPr>
              <w:widowControl/>
              <w:adjustRightInd w:val="0"/>
              <w:snapToGrid w:val="0"/>
              <w:spacing w:beforeLines="0" w:afterLines="0" w:line="240" w:lineRule="auto"/>
              <w:ind w:firstLine="0" w:firstLineChars="0"/>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rPr>
              <w:t>年</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月</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b w:val="0"/>
                <w:bCs w:val="0"/>
                <w:kern w:val="0"/>
                <w:sz w:val="21"/>
                <w:szCs w:val="21"/>
                <w:lang w:eastAsia="zh-CN"/>
              </w:rPr>
              <w:t>整改结果</w:t>
            </w:r>
          </w:p>
        </w:tc>
        <w:tc>
          <w:tcPr>
            <w:tcW w:w="7847" w:type="dxa"/>
            <w:gridSpan w:val="8"/>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已整改完成，</w:t>
            </w:r>
            <w:r>
              <w:rPr>
                <w:rFonts w:hint="eastAsia" w:ascii="仿宋_GB2312" w:hAnsi="仿宋_GB2312" w:eastAsia="仿宋_GB2312" w:cs="仿宋_GB2312"/>
                <w:b w:val="0"/>
                <w:bCs w:val="0"/>
                <w:kern w:val="0"/>
                <w:sz w:val="21"/>
                <w:szCs w:val="21"/>
                <w:lang w:eastAsia="zh-CN"/>
              </w:rPr>
              <w:t>可以设立。</w:t>
            </w:r>
            <w:r>
              <w:rPr>
                <w:rFonts w:hint="eastAsia" w:ascii="仿宋_GB2312" w:hAnsi="仿宋_GB2312" w:eastAsia="仿宋_GB2312" w:cs="仿宋_GB2312"/>
                <w:b w:val="0"/>
                <w:bCs w:val="0"/>
                <w:kern w:val="0"/>
                <w:sz w:val="21"/>
                <w:szCs w:val="21"/>
              </w:rPr>
              <w:t xml:space="preserve">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未完成整改，</w:t>
            </w:r>
            <w:r>
              <w:rPr>
                <w:rFonts w:hint="eastAsia" w:ascii="仿宋_GB2312" w:hAnsi="仿宋_GB2312" w:eastAsia="仿宋_GB2312" w:cs="仿宋_GB2312"/>
                <w:b w:val="0"/>
                <w:bCs w:val="0"/>
                <w:kern w:val="0"/>
                <w:sz w:val="21"/>
                <w:szCs w:val="21"/>
                <w:lang w:eastAsia="zh-CN"/>
              </w:rPr>
              <w:t>不建议设立。</w:t>
            </w:r>
          </w:p>
          <w:p>
            <w:pPr>
              <w:adjustRightInd w:val="0"/>
              <w:snapToGrid w:val="0"/>
              <w:spacing w:beforeLines="0" w:afterLines="0" w:line="240" w:lineRule="auto"/>
              <w:ind w:left="0" w:leftChars="0" w:firstLine="0" w:firstLineChars="0"/>
              <w:jc w:val="both"/>
              <w:rPr>
                <w:rFonts w:hint="default" w:ascii="仿宋_GB2312" w:hAnsi="仿宋_GB2312" w:eastAsia="仿宋_GB2312" w:cs="仿宋_GB2312"/>
                <w:b w:val="0"/>
                <w:bCs w:val="0"/>
                <w:kern w:val="0"/>
                <w:sz w:val="21"/>
                <w:szCs w:val="21"/>
                <w:lang w:val="en-US" w:eastAsia="zh-CN"/>
              </w:rPr>
            </w:pPr>
          </w:p>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 组长：</w:t>
            </w:r>
          </w:p>
          <w:p>
            <w:pPr>
              <w:adjustRightInd w:val="0"/>
              <w:snapToGrid w:val="0"/>
              <w:spacing w:beforeLines="0" w:afterLines="0" w:line="240" w:lineRule="auto"/>
              <w:ind w:left="0" w:leftChars="0" w:firstLine="0" w:firstLineChars="0"/>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09"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b w:val="0"/>
                <w:bCs w:val="0"/>
                <w:kern w:val="0"/>
                <w:sz w:val="21"/>
                <w:szCs w:val="21"/>
                <w:lang w:eastAsia="zh-CN"/>
              </w:rPr>
              <w:t>评估</w:t>
            </w:r>
            <w:r>
              <w:rPr>
                <w:rFonts w:hint="eastAsia" w:ascii="仿宋_GB2312" w:hAnsi="仿宋_GB2312" w:eastAsia="仿宋_GB2312" w:cs="仿宋_GB2312"/>
                <w:b w:val="0"/>
                <w:bCs w:val="0"/>
                <w:kern w:val="0"/>
                <w:sz w:val="21"/>
                <w:szCs w:val="21"/>
              </w:rPr>
              <w:t>机构意见</w:t>
            </w:r>
          </w:p>
        </w:tc>
        <w:tc>
          <w:tcPr>
            <w:tcW w:w="7847" w:type="dxa"/>
            <w:gridSpan w:val="8"/>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同意选址</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rPr>
              <w:t xml:space="preserve">    </w:t>
            </w:r>
          </w:p>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不同意选址</w:t>
            </w:r>
            <w:r>
              <w:rPr>
                <w:rFonts w:hint="eastAsia" w:ascii="仿宋_GB2312" w:hAnsi="仿宋_GB2312" w:eastAsia="仿宋_GB2312" w:cs="仿宋_GB2312"/>
                <w:b w:val="0"/>
                <w:bCs w:val="0"/>
                <w:kern w:val="0"/>
                <w:sz w:val="21"/>
                <w:szCs w:val="21"/>
                <w:lang w:eastAsia="zh-CN"/>
              </w:rPr>
              <w:t>。</w:t>
            </w:r>
          </w:p>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eastAsia="zh-CN"/>
              </w:rPr>
              <w:t>评估</w:t>
            </w:r>
            <w:r>
              <w:rPr>
                <w:rFonts w:hint="eastAsia" w:ascii="仿宋_GB2312" w:hAnsi="仿宋_GB2312" w:eastAsia="仿宋_GB2312" w:cs="仿宋_GB2312"/>
                <w:b w:val="0"/>
                <w:bCs w:val="0"/>
                <w:kern w:val="0"/>
                <w:sz w:val="21"/>
                <w:szCs w:val="21"/>
              </w:rPr>
              <w:t>机构盖章）</w:t>
            </w:r>
          </w:p>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rPr>
              <w:t xml:space="preserve">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 xml:space="preserve">年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 xml:space="preserve"> 月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 xml:space="preserve"> 日</w:t>
            </w:r>
          </w:p>
        </w:tc>
      </w:tr>
    </w:tbl>
    <w:p>
      <w:pPr>
        <w:keepNext w:val="0"/>
        <w:keepLines w:val="0"/>
        <w:pageBreakBefore w:val="0"/>
        <w:widowControl w:val="0"/>
        <w:kinsoku/>
        <w:wordWrap/>
        <w:overflowPunct/>
        <w:topLinePunct w:val="0"/>
        <w:autoSpaceDE/>
        <w:autoSpaceDN/>
        <w:bidi w:val="0"/>
        <w:adjustRightInd/>
        <w:snapToGrid/>
        <w:spacing w:line="320" w:lineRule="exact"/>
        <w:ind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黑体" w:hAnsi="黑体" w:eastAsia="黑体" w:cs="黑体"/>
          <w:sz w:val="21"/>
          <w:szCs w:val="21"/>
          <w:lang w:val="en-US" w:eastAsia="zh-CN"/>
        </w:rPr>
        <w:t>备注：</w:t>
      </w:r>
      <w:r>
        <w:rPr>
          <w:rFonts w:hint="eastAsia" w:ascii="仿宋_GB2312" w:hAnsi="仿宋_GB2312" w:eastAsia="仿宋_GB2312" w:cs="仿宋_GB2312"/>
          <w:sz w:val="21"/>
          <w:szCs w:val="21"/>
          <w:lang w:val="en-US" w:eastAsia="zh-CN"/>
        </w:rPr>
        <w:t>1．综合得分为各评估项目得分之和，评审专家根据评估项目各自评定，最终得分取平均分。</w:t>
      </w:r>
    </w:p>
    <w:p>
      <w:pPr>
        <w:keepNext w:val="0"/>
        <w:keepLines w:val="0"/>
        <w:pageBreakBefore w:val="0"/>
        <w:widowControl w:val="0"/>
        <w:kinsoku/>
        <w:wordWrap/>
        <w:overflowPunct/>
        <w:topLinePunct w:val="0"/>
        <w:autoSpaceDE/>
        <w:autoSpaceDN/>
        <w:bidi w:val="0"/>
        <w:adjustRightInd/>
        <w:snapToGrid/>
        <w:spacing w:line="320" w:lineRule="exact"/>
        <w:ind w:left="937" w:leftChars="190" w:right="0" w:rightChars="0" w:hanging="329" w:hangingChars="157"/>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综合评估分值在80分以上(含80分)的,评估结论为“可以设立”。达不到80分的，但通过改进设施条件能达到的，由专家提出整改意见，申请方同意并承诺实施的，评估结论为“整改后设立”。整改期限为六个月，整改措施得到落实后，经专家组确认合格后视同评估“可以设立”。其他为“不建议设立”。</w:t>
      </w:r>
    </w:p>
    <w:p>
      <w:pPr>
        <w:keepNext w:val="0"/>
        <w:keepLines w:val="0"/>
        <w:pageBreakBefore w:val="0"/>
        <w:widowControl w:val="0"/>
        <w:kinsoku/>
        <w:wordWrap/>
        <w:overflowPunct/>
        <w:topLinePunct w:val="0"/>
        <w:autoSpaceDE/>
        <w:autoSpaceDN/>
        <w:bidi w:val="0"/>
        <w:adjustRightInd/>
        <w:snapToGrid/>
        <w:spacing w:line="320" w:lineRule="exact"/>
        <w:ind w:left="824" w:right="0" w:rightChars="0" w:hanging="840" w:hangingChars="4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第2-4项采用承诺方式评分，专家组当面征询被评估单位负责人员是否承诺场所建设后能达到评分细则各评分细项的要求，承诺的，给予计分；不承诺的，不予计分。被评估单位负责人员同时在评分细则栏进行承诺签名。若场所建成后达不到评估打分要求的，不予审查办理《动物防疫条件合格证》。</w:t>
      </w:r>
    </w:p>
    <w:p>
      <w:pPr>
        <w:pStyle w:val="3"/>
        <w:spacing w:beforeLines="0" w:afterLines="0"/>
        <w:rPr>
          <w:rFonts w:hint="eastAsia" w:ascii="黑体" w:hAnsi="黑体" w:eastAsia="黑体" w:cs="黑体"/>
          <w:sz w:val="32"/>
          <w:szCs w:val="32"/>
          <w:lang w:val="en-US" w:eastAsia="zh-CN"/>
        </w:rPr>
      </w:pPr>
      <w:r>
        <w:rPr>
          <w:rFonts w:hint="eastAsia"/>
          <w:lang w:val="en-US" w:eastAsia="zh-CN"/>
        </w:rPr>
        <w:br w:type="page"/>
      </w:r>
      <w:r>
        <w:rPr>
          <w:rFonts w:hint="eastAsia" w:ascii="黑体" w:hAnsi="黑体" w:eastAsia="黑体" w:cs="黑体"/>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sz w:val="32"/>
        </w:rPr>
      </w:pPr>
    </w:p>
    <w:p>
      <w:pPr>
        <w:numPr>
          <w:ilvl w:val="0"/>
          <w:numId w:val="0"/>
        </w:numPr>
        <w:spacing w:beforeLines="0" w:afterLines="0"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广东省动物屠宰加工场所、动物和动物产品</w:t>
      </w:r>
    </w:p>
    <w:p>
      <w:pPr>
        <w:numPr>
          <w:ilvl w:val="0"/>
          <w:numId w:val="0"/>
        </w:numPr>
        <w:spacing w:beforeLines="0" w:afterLines="0"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无害化处理场所选址综合评估表</w:t>
      </w:r>
    </w:p>
    <w:p>
      <w:pPr>
        <w:numPr>
          <w:ilvl w:val="0"/>
          <w:numId w:val="0"/>
        </w:numPr>
        <w:spacing w:beforeLines="0" w:afterLines="0" w:line="590" w:lineRule="exact"/>
        <w:jc w:val="center"/>
        <w:rPr>
          <w:rFonts w:hint="eastAsia" w:ascii="方正小标宋简体" w:hAnsi="方正小标宋简体" w:eastAsia="方正小标宋简体" w:cs="方正小标宋简体"/>
          <w:sz w:val="44"/>
          <w:szCs w:val="44"/>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774"/>
        <w:gridCol w:w="2082"/>
        <w:gridCol w:w="1301"/>
        <w:gridCol w:w="1384"/>
        <w:gridCol w:w="852"/>
        <w:gridCol w:w="730"/>
        <w:gridCol w:w="7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51"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lang w:eastAsia="zh-CN"/>
              </w:rPr>
            </w:pPr>
            <w:r>
              <w:rPr>
                <w:rFonts w:hint="eastAsia" w:ascii="仿宋_GB2312" w:hAnsi="仿宋_GB2312" w:eastAsia="仿宋_GB2312" w:cs="仿宋_GB2312"/>
                <w:color w:val="000000"/>
                <w:spacing w:val="0"/>
                <w:w w:val="100"/>
                <w:sz w:val="21"/>
                <w:szCs w:val="21"/>
                <w:lang w:eastAsia="zh-CN"/>
              </w:rPr>
              <w:t>申请单位</w:t>
            </w:r>
          </w:p>
        </w:tc>
        <w:tc>
          <w:tcPr>
            <w:tcW w:w="3383"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38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负</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责</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人</w:t>
            </w:r>
          </w:p>
        </w:tc>
        <w:tc>
          <w:tcPr>
            <w:tcW w:w="3142"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51"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sz w:val="21"/>
                <w:szCs w:val="21"/>
                <w:lang w:eastAsia="zh-CN"/>
              </w:rPr>
              <w:t>建设地点</w:t>
            </w:r>
          </w:p>
        </w:tc>
        <w:tc>
          <w:tcPr>
            <w:tcW w:w="3383"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38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lang w:eastAsia="zh-CN"/>
              </w:rPr>
            </w:pPr>
            <w:r>
              <w:rPr>
                <w:rFonts w:hint="eastAsia" w:ascii="仿宋_GB2312" w:hAnsi="仿宋_GB2312" w:eastAsia="仿宋_GB2312" w:cs="仿宋_GB2312"/>
                <w:color w:val="000000"/>
                <w:spacing w:val="0"/>
                <w:w w:val="100"/>
                <w:sz w:val="21"/>
                <w:szCs w:val="21"/>
                <w:lang w:eastAsia="zh-CN"/>
              </w:rPr>
              <w:t>经</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lang w:eastAsia="zh-CN"/>
              </w:rPr>
              <w:t>纬</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lang w:eastAsia="zh-CN"/>
              </w:rPr>
              <w:t>度</w:t>
            </w:r>
          </w:p>
        </w:tc>
        <w:tc>
          <w:tcPr>
            <w:tcW w:w="3142"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51"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联</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系</w:t>
            </w:r>
            <w:r>
              <w:rPr>
                <w:rFonts w:hint="eastAsia" w:ascii="仿宋_GB2312" w:hAnsi="仿宋_GB2312" w:eastAsia="仿宋_GB2312" w:cs="仿宋_GB2312"/>
                <w:color w:val="000000"/>
                <w:spacing w:val="0"/>
                <w:w w:val="100"/>
                <w:sz w:val="21"/>
                <w:szCs w:val="21"/>
                <w:lang w:val="en-US" w:eastAsia="zh-CN"/>
              </w:rPr>
              <w:t xml:space="preserve"> </w:t>
            </w:r>
            <w:r>
              <w:rPr>
                <w:rFonts w:hint="eastAsia" w:ascii="仿宋_GB2312" w:hAnsi="仿宋_GB2312" w:eastAsia="仿宋_GB2312" w:cs="仿宋_GB2312"/>
                <w:color w:val="000000"/>
                <w:spacing w:val="0"/>
                <w:w w:val="100"/>
                <w:sz w:val="21"/>
                <w:szCs w:val="21"/>
              </w:rPr>
              <w:t>人</w:t>
            </w:r>
          </w:p>
        </w:tc>
        <w:tc>
          <w:tcPr>
            <w:tcW w:w="3383"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38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sz w:val="21"/>
                <w:szCs w:val="21"/>
                <w:lang w:eastAsia="zh-CN"/>
              </w:rPr>
              <w:t>评估日期</w:t>
            </w:r>
          </w:p>
        </w:tc>
        <w:tc>
          <w:tcPr>
            <w:tcW w:w="3142"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51"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联系电话</w:t>
            </w:r>
          </w:p>
        </w:tc>
        <w:tc>
          <w:tcPr>
            <w:tcW w:w="3383"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c>
          <w:tcPr>
            <w:tcW w:w="138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lang w:eastAsia="zh-CN"/>
              </w:rPr>
            </w:pPr>
            <w:r>
              <w:rPr>
                <w:rFonts w:hint="eastAsia" w:ascii="仿宋_GB2312" w:hAnsi="仿宋_GB2312" w:eastAsia="仿宋_GB2312" w:cs="仿宋_GB2312"/>
                <w:color w:val="000000"/>
                <w:spacing w:val="0"/>
                <w:w w:val="100"/>
                <w:sz w:val="21"/>
                <w:szCs w:val="21"/>
                <w:lang w:eastAsia="zh-CN"/>
              </w:rPr>
              <w:t>综合评分</w:t>
            </w:r>
          </w:p>
        </w:tc>
        <w:tc>
          <w:tcPr>
            <w:tcW w:w="3142" w:type="dxa"/>
            <w:gridSpan w:val="4"/>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51"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场所类别</w:t>
            </w:r>
          </w:p>
        </w:tc>
        <w:tc>
          <w:tcPr>
            <w:tcW w:w="7909" w:type="dxa"/>
            <w:gridSpan w:val="7"/>
            <w:noWrap w:val="0"/>
            <w:vAlign w:val="center"/>
          </w:tcPr>
          <w:p>
            <w:pPr>
              <w:adjustRightInd w:val="0"/>
              <w:snapToGrid w:val="0"/>
              <w:spacing w:beforeLines="0" w:afterLines="0" w:line="240" w:lineRule="auto"/>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动物屠宰加工场所</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 xml:space="preserve"> 动物和动物产品无害化处理场所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项目</w:t>
            </w: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编号</w:t>
            </w:r>
          </w:p>
        </w:tc>
        <w:tc>
          <w:tcPr>
            <w:tcW w:w="2082"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评估内容</w:t>
            </w:r>
          </w:p>
        </w:tc>
        <w:tc>
          <w:tcPr>
            <w:tcW w:w="3537" w:type="dxa"/>
            <w:gridSpan w:val="3"/>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核查形式</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分值</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得分</w:t>
            </w:r>
          </w:p>
        </w:tc>
        <w:tc>
          <w:tcPr>
            <w:tcW w:w="8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37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天然屏障</w:t>
            </w: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1</w:t>
            </w:r>
          </w:p>
        </w:tc>
        <w:tc>
          <w:tcPr>
            <w:tcW w:w="2082"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周边的天然屏障（如河流、山脉等）</w:t>
            </w:r>
          </w:p>
        </w:tc>
        <w:tc>
          <w:tcPr>
            <w:tcW w:w="3537" w:type="dxa"/>
            <w:gridSpan w:val="3"/>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查看周边有无</w:t>
            </w:r>
            <w:r>
              <w:rPr>
                <w:rFonts w:hint="eastAsia" w:ascii="仿宋_GB2312" w:hAnsi="仿宋_GB2312" w:eastAsia="仿宋_GB2312" w:cs="仿宋_GB2312"/>
                <w:sz w:val="21"/>
                <w:szCs w:val="21"/>
              </w:rPr>
              <w:t>山峦（山峰、山丘）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河流（湖泊</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水库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沟壑）</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林地、田地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水塘、溪流</w:t>
            </w:r>
            <w:r>
              <w:rPr>
                <w:rFonts w:hint="eastAsia" w:ascii="仿宋_GB2312" w:hAnsi="仿宋_GB2312" w:eastAsia="仿宋_GB2312" w:cs="仿宋_GB2312"/>
                <w:color w:val="000000"/>
                <w:spacing w:val="0"/>
                <w:w w:val="100"/>
                <w:kern w:val="0"/>
                <w:sz w:val="21"/>
                <w:szCs w:val="21"/>
              </w:rPr>
              <w:t>等隔断。根据隔断的有效性评分。</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lang w:val="en-US" w:eastAsia="zh-CN"/>
              </w:rPr>
              <w:t>1</w:t>
            </w:r>
            <w:r>
              <w:rPr>
                <w:rFonts w:hint="eastAsia" w:ascii="仿宋_GB2312" w:hAnsi="仿宋_GB2312" w:eastAsia="仿宋_GB2312" w:cs="仿宋_GB2312"/>
                <w:color w:val="000000"/>
                <w:spacing w:val="0"/>
                <w:w w:val="100"/>
                <w:kern w:val="0"/>
                <w:sz w:val="21"/>
                <w:szCs w:val="21"/>
              </w:rPr>
              <w:t>0</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37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人工屏障</w:t>
            </w: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2</w:t>
            </w:r>
          </w:p>
        </w:tc>
        <w:tc>
          <w:tcPr>
            <w:tcW w:w="2082"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具有防疫壕沟、围墙、密闭挡板等物理隔离的人工屏障</w:t>
            </w:r>
          </w:p>
        </w:tc>
        <w:tc>
          <w:tcPr>
            <w:tcW w:w="35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建有</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米以上高度实体围墙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可防止人员及畜禽随意进入的栅拦围栏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auto"/>
                <w:sz w:val="21"/>
                <w:szCs w:val="21"/>
                <w:lang w:val="en-US" w:eastAsia="zh-CN"/>
              </w:rPr>
              <w:t>装备空气过滤系</w:t>
            </w:r>
            <w:r>
              <w:rPr>
                <w:rFonts w:hint="eastAsia" w:ascii="仿宋_GB2312" w:hAnsi="仿宋_GB2312" w:eastAsia="仿宋_GB2312" w:cs="仿宋_GB2312"/>
                <w:color w:val="auto"/>
                <w:sz w:val="21"/>
                <w:szCs w:val="21"/>
                <w:highlight w:val="none"/>
                <w:lang w:val="en-US" w:eastAsia="zh-CN"/>
              </w:rPr>
              <w:t>统，</w:t>
            </w:r>
            <w:r>
              <w:rPr>
                <w:rFonts w:hint="eastAsia" w:ascii="仿宋_GB2312" w:hAnsi="仿宋_GB2312" w:eastAsia="仿宋_GB2312" w:cs="仿宋_GB2312"/>
                <w:color w:val="000000"/>
                <w:spacing w:val="0"/>
                <w:w w:val="100"/>
                <w:kern w:val="0"/>
                <w:sz w:val="21"/>
                <w:szCs w:val="21"/>
              </w:rPr>
              <w:t>根据隔断效果综合评估给分。</w:t>
            </w:r>
          </w:p>
          <w:p>
            <w:pPr>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本项采用承诺方式评分</w:t>
            </w:r>
            <w:r>
              <w:rPr>
                <w:rFonts w:hint="eastAsia" w:ascii="仿宋_GB2312" w:hAnsi="仿宋_GB2312" w:eastAsia="仿宋_GB2312" w:cs="仿宋_GB2312"/>
                <w:color w:val="auto"/>
                <w:sz w:val="21"/>
                <w:szCs w:val="21"/>
                <w:highlight w:val="none"/>
                <w:lang w:val="en-US" w:eastAsia="zh-CN"/>
              </w:rPr>
              <w:t>，被评估场所负责人签名：           ）</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20</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377" w:type="dxa"/>
            <w:vMerge w:val="restart"/>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b w:val="0"/>
                <w:bCs w:val="0"/>
                <w:color w:val="000000"/>
                <w:spacing w:val="0"/>
                <w:w w:val="100"/>
                <w:kern w:val="0"/>
                <w:sz w:val="21"/>
                <w:szCs w:val="21"/>
                <w:lang w:eastAsia="zh-CN"/>
              </w:rPr>
              <w:t>设施设备</w:t>
            </w: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lang w:val="en-US" w:eastAsia="zh-CN"/>
              </w:rPr>
              <w:t>3</w:t>
            </w:r>
          </w:p>
        </w:tc>
        <w:tc>
          <w:tcPr>
            <w:tcW w:w="2082"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eastAsia="zh-CN"/>
              </w:rPr>
              <w:t>消毒设施</w:t>
            </w:r>
          </w:p>
        </w:tc>
        <w:tc>
          <w:tcPr>
            <w:tcW w:w="35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b w:val="0"/>
                <w:bCs w:val="0"/>
                <w:i w:val="0"/>
                <w:iCs w:val="0"/>
                <w:color w:val="auto"/>
                <w:kern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lang w:val="en-US" w:eastAsia="zh-CN"/>
              </w:rPr>
              <w:t>建设有车辆洗消区，配有车辆自动冲洗消毒设备、建有车辆干燥消毒房、场区出入口建有消毒池的，根据承诺建设情况综合评分</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被评估单位负责人员签名：          ）</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7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377" w:type="dxa"/>
            <w:vMerge w:val="continue"/>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4</w:t>
            </w:r>
          </w:p>
        </w:tc>
        <w:tc>
          <w:tcPr>
            <w:tcW w:w="2082"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具有病死畜禽无害化处理</w:t>
            </w:r>
            <w:r>
              <w:rPr>
                <w:rFonts w:hint="eastAsia" w:ascii="仿宋_GB2312" w:hAnsi="仿宋_GB2312" w:eastAsia="仿宋_GB2312" w:cs="仿宋_GB2312"/>
                <w:sz w:val="21"/>
                <w:szCs w:val="21"/>
                <w:lang w:eastAsia="zh-CN"/>
              </w:rPr>
              <w:t>能力</w:t>
            </w:r>
          </w:p>
        </w:tc>
        <w:tc>
          <w:tcPr>
            <w:tcW w:w="35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□具有病死畜禽无害化处理设施设备或者委托有资质单位统一收集处理</w:t>
            </w:r>
            <w:r>
              <w:rPr>
                <w:rFonts w:hint="eastAsia" w:ascii="仿宋_GB2312" w:hAnsi="仿宋_GB2312" w:eastAsia="仿宋_GB2312" w:cs="仿宋_GB2312"/>
                <w:sz w:val="21"/>
                <w:szCs w:val="21"/>
                <w:lang w:eastAsia="zh-CN"/>
              </w:rPr>
              <w:t>（动物屠宰加工场所）</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□具有病死畜禽无害化处理设施设备和污水处理设施设备</w:t>
            </w:r>
            <w:r>
              <w:rPr>
                <w:rFonts w:hint="eastAsia" w:ascii="仿宋_GB2312" w:hAnsi="仿宋_GB2312" w:eastAsia="仿宋_GB2312" w:cs="仿宋_GB2312"/>
                <w:sz w:val="21"/>
                <w:szCs w:val="21"/>
                <w:lang w:eastAsia="zh-CN"/>
              </w:rPr>
              <w:t>（动物和动物产品无害化处理场所）</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Lines="0" w:afterLines="0"/>
              <w:textAlignment w:val="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本项采用承诺方式评分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被评估单位负责人员签名：          ）</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val="en-US" w:eastAsia="zh-CN"/>
              </w:rPr>
            </w:pPr>
            <w:r>
              <w:rPr>
                <w:rFonts w:hint="eastAsia" w:ascii="仿宋_GB2312" w:hAnsi="仿宋_GB2312" w:eastAsia="仿宋_GB2312" w:cs="仿宋_GB2312"/>
                <w:color w:val="000000"/>
                <w:spacing w:val="0"/>
                <w:w w:val="100"/>
                <w:kern w:val="0"/>
                <w:sz w:val="21"/>
                <w:szCs w:val="21"/>
                <w:lang w:val="en-US" w:eastAsia="zh-CN"/>
              </w:rPr>
              <w:t>15</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77" w:type="dxa"/>
            <w:vMerge w:val="restart"/>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lang w:eastAsia="zh-CN"/>
              </w:rPr>
              <w:t>周边</w:t>
            </w:r>
            <w:r>
              <w:rPr>
                <w:rFonts w:hint="eastAsia" w:ascii="仿宋_GB2312" w:hAnsi="仿宋_GB2312" w:eastAsia="仿宋_GB2312" w:cs="仿宋_GB2312"/>
                <w:b w:val="0"/>
                <w:bCs w:val="0"/>
                <w:kern w:val="0"/>
                <w:sz w:val="21"/>
                <w:szCs w:val="21"/>
              </w:rPr>
              <w:t>环境</w:t>
            </w: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000000"/>
                <w:spacing w:val="0"/>
                <w:w w:val="100"/>
                <w:kern w:val="0"/>
                <w:sz w:val="21"/>
                <w:szCs w:val="21"/>
                <w:lang w:val="en-US" w:eastAsia="zh-CN"/>
              </w:rPr>
              <w:t>5</w:t>
            </w:r>
          </w:p>
        </w:tc>
        <w:tc>
          <w:tcPr>
            <w:tcW w:w="2082"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rPr>
              <w:t>防渗漏影响水源</w:t>
            </w:r>
          </w:p>
        </w:tc>
        <w:tc>
          <w:tcPr>
            <w:tcW w:w="353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建有能有效防止污染周围生活饮用水源地的防渗、防漏设施设备。</w:t>
            </w:r>
          </w:p>
          <w:p>
            <w:pPr>
              <w:pStyle w:val="3"/>
              <w:keepNext w:val="0"/>
              <w:keepLines w:val="0"/>
              <w:pageBreakBefore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本项采用承诺方式评分</w:t>
            </w:r>
            <w:r>
              <w:rPr>
                <w:rFonts w:hint="eastAsia" w:ascii="仿宋_GB2312" w:hAnsi="仿宋_GB2312" w:eastAsia="仿宋_GB2312" w:cs="仿宋_GB2312"/>
                <w:color w:val="auto"/>
                <w:sz w:val="21"/>
                <w:szCs w:val="21"/>
                <w:highlight w:val="none"/>
                <w:lang w:val="en-US" w:eastAsia="zh-CN"/>
              </w:rPr>
              <w:t>，被评估场所负责人签名：         ）</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rPr>
              <w:t>15</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lang w:val="en-US" w:eastAsia="zh-CN" w:bidi="ar-SA"/>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77" w:type="dxa"/>
            <w:vMerge w:val="continue"/>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6</w:t>
            </w:r>
          </w:p>
        </w:tc>
        <w:tc>
          <w:tcPr>
            <w:tcW w:w="2082" w:type="dxa"/>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b w:val="0"/>
                <w:bCs w:val="0"/>
                <w:kern w:val="0"/>
                <w:sz w:val="21"/>
                <w:szCs w:val="21"/>
                <w:lang w:eastAsia="zh-CN"/>
              </w:rPr>
              <w:t>周边环境的复杂程度</w:t>
            </w:r>
          </w:p>
        </w:tc>
        <w:tc>
          <w:tcPr>
            <w:tcW w:w="35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b w:val="0"/>
                <w:bCs w:val="0"/>
                <w:kern w:val="0"/>
                <w:sz w:val="21"/>
                <w:szCs w:val="21"/>
                <w:lang w:eastAsia="zh-CN"/>
              </w:rPr>
              <w:t>查看周边是否有影响防疫安全的动物饲养场、养殖小区、动物诊疗机构、动物屠宰加工场所、动物和动物产品集贸市场、动物隔离场、动物和动物产品无害化处理场所。综合评估给分。</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b w:val="0"/>
                <w:bCs w:val="0"/>
                <w:kern w:val="0"/>
                <w:sz w:val="21"/>
                <w:szCs w:val="21"/>
                <w:lang w:val="en-US" w:eastAsia="zh-CN"/>
              </w:rPr>
              <w:t>10</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37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制度建设</w:t>
            </w:r>
          </w:p>
        </w:tc>
        <w:tc>
          <w:tcPr>
            <w:tcW w:w="774"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val="en-US" w:eastAsia="zh-CN"/>
              </w:rPr>
              <w:t>7</w:t>
            </w:r>
          </w:p>
        </w:tc>
        <w:tc>
          <w:tcPr>
            <w:tcW w:w="2082"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建立生物安全管理制度</w:t>
            </w:r>
          </w:p>
        </w:tc>
        <w:tc>
          <w:tcPr>
            <w:tcW w:w="3537" w:type="dxa"/>
            <w:gridSpan w:val="3"/>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对拟（已）建立的生物安全管理制的科学性、可操作性以及运行效果进行综合评估给分。</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lang w:val="en-US" w:eastAsia="zh-CN"/>
              </w:rPr>
              <w:t>1</w:t>
            </w:r>
            <w:r>
              <w:rPr>
                <w:rFonts w:hint="eastAsia" w:ascii="仿宋_GB2312" w:hAnsi="仿宋_GB2312" w:eastAsia="仿宋_GB2312" w:cs="仿宋_GB2312"/>
                <w:color w:val="000000"/>
                <w:spacing w:val="0"/>
                <w:w w:val="100"/>
                <w:kern w:val="0"/>
                <w:sz w:val="21"/>
                <w:szCs w:val="21"/>
              </w:rPr>
              <w:t>5</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70" w:type="dxa"/>
            <w:gridSpan w:val="6"/>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t>合</w:t>
            </w:r>
            <w:r>
              <w:rPr>
                <w:rFonts w:hint="eastAsia" w:ascii="仿宋_GB2312" w:hAnsi="仿宋_GB2312" w:eastAsia="仿宋_GB2312" w:cs="仿宋_GB2312"/>
                <w:color w:val="000000"/>
                <w:spacing w:val="0"/>
                <w:w w:val="100"/>
                <w:kern w:val="0"/>
                <w:sz w:val="21"/>
                <w:szCs w:val="21"/>
                <w:lang w:val="en-US" w:eastAsia="zh-CN"/>
              </w:rPr>
              <w:t xml:space="preserve">  </w:t>
            </w:r>
            <w:r>
              <w:rPr>
                <w:rFonts w:hint="eastAsia" w:ascii="仿宋_GB2312" w:hAnsi="仿宋_GB2312" w:eastAsia="仿宋_GB2312" w:cs="仿宋_GB2312"/>
                <w:color w:val="000000"/>
                <w:spacing w:val="0"/>
                <w:w w:val="100"/>
                <w:kern w:val="0"/>
                <w:sz w:val="21"/>
                <w:szCs w:val="21"/>
              </w:rPr>
              <w:t>计</w:t>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rPr>
            </w:pPr>
            <w:r>
              <w:rPr>
                <w:rFonts w:hint="eastAsia" w:ascii="仿宋_GB2312" w:hAnsi="仿宋_GB2312" w:eastAsia="仿宋_GB2312" w:cs="仿宋_GB2312"/>
                <w:color w:val="000000"/>
                <w:spacing w:val="0"/>
                <w:w w:val="100"/>
                <w:kern w:val="0"/>
                <w:sz w:val="21"/>
                <w:szCs w:val="21"/>
              </w:rPr>
              <w:fldChar w:fldCharType="begin"/>
            </w:r>
            <w:r>
              <w:rPr>
                <w:rFonts w:hint="eastAsia" w:ascii="仿宋_GB2312" w:hAnsi="仿宋_GB2312" w:eastAsia="仿宋_GB2312" w:cs="仿宋_GB2312"/>
                <w:color w:val="000000"/>
                <w:spacing w:val="0"/>
                <w:w w:val="100"/>
                <w:kern w:val="0"/>
                <w:sz w:val="21"/>
                <w:szCs w:val="21"/>
              </w:rPr>
              <w:instrText xml:space="preserve"> =SUM(ABOVE) \* MERGEFORMAT </w:instrText>
            </w:r>
            <w:r>
              <w:rPr>
                <w:rFonts w:hint="eastAsia" w:ascii="仿宋_GB2312" w:hAnsi="仿宋_GB2312" w:eastAsia="仿宋_GB2312" w:cs="仿宋_GB2312"/>
                <w:color w:val="000000"/>
                <w:spacing w:val="0"/>
                <w:w w:val="100"/>
                <w:kern w:val="0"/>
                <w:sz w:val="21"/>
                <w:szCs w:val="21"/>
              </w:rPr>
              <w:fldChar w:fldCharType="separate"/>
            </w:r>
            <w:r>
              <w:rPr>
                <w:rFonts w:hint="eastAsia" w:ascii="仿宋_GB2312" w:hAnsi="仿宋_GB2312" w:eastAsia="仿宋_GB2312" w:cs="仿宋_GB2312"/>
                <w:color w:val="000000"/>
                <w:spacing w:val="0"/>
                <w:w w:val="100"/>
                <w:kern w:val="0"/>
                <w:sz w:val="21"/>
                <w:szCs w:val="21"/>
              </w:rPr>
              <w:t>100</w:t>
            </w:r>
            <w:r>
              <w:rPr>
                <w:rFonts w:hint="eastAsia" w:ascii="仿宋_GB2312" w:hAnsi="仿宋_GB2312" w:eastAsia="仿宋_GB2312" w:cs="仿宋_GB2312"/>
                <w:color w:val="000000"/>
                <w:spacing w:val="0"/>
                <w:w w:val="100"/>
                <w:kern w:val="0"/>
                <w:sz w:val="21"/>
                <w:szCs w:val="21"/>
              </w:rPr>
              <w:fldChar w:fldCharType="end"/>
            </w:r>
          </w:p>
        </w:tc>
        <w:tc>
          <w:tcPr>
            <w:tcW w:w="730"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b/>
                <w:bCs/>
                <w:color w:val="000000"/>
                <w:spacing w:val="0"/>
                <w:w w:val="100"/>
                <w:kern w:val="0"/>
                <w:sz w:val="21"/>
                <w:szCs w:val="21"/>
              </w:rPr>
            </w:pPr>
          </w:p>
        </w:tc>
        <w:tc>
          <w:tcPr>
            <w:tcW w:w="830" w:type="dxa"/>
            <w:noWrap w:val="0"/>
            <w:vAlign w:val="center"/>
          </w:tcPr>
          <w:p>
            <w:pPr>
              <w:widowControl/>
              <w:adjustRightInd w:val="0"/>
              <w:snapToGrid w:val="0"/>
              <w:spacing w:beforeLines="0" w:afterLines="0" w:line="240" w:lineRule="auto"/>
              <w:rPr>
                <w:rFonts w:hint="eastAsia" w:ascii="仿宋_GB2312" w:hAnsi="仿宋_GB2312" w:eastAsia="仿宋_GB2312" w:cs="仿宋_GB2312"/>
                <w:b/>
                <w:bCs/>
                <w:color w:val="000000"/>
                <w:spacing w:val="0"/>
                <w:w w:val="1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77" w:type="dxa"/>
            <w:noWrap w:val="0"/>
            <w:vAlign w:val="center"/>
          </w:tcPr>
          <w:p>
            <w:pPr>
              <w:widowControl/>
              <w:adjustRightInd w:val="0"/>
              <w:snapToGrid w:val="0"/>
              <w:spacing w:beforeLines="0" w:afterLines="0" w:line="240" w:lineRule="auto"/>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color w:val="000000"/>
                <w:spacing w:val="0"/>
                <w:w w:val="100"/>
                <w:kern w:val="0"/>
                <w:sz w:val="21"/>
                <w:szCs w:val="21"/>
                <w:lang w:eastAsia="zh-CN"/>
              </w:rPr>
              <w:t>评估结果</w:t>
            </w:r>
          </w:p>
        </w:tc>
        <w:tc>
          <w:tcPr>
            <w:tcW w:w="8683" w:type="dxa"/>
            <w:gridSpan w:val="8"/>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可以设立。</w:t>
            </w:r>
          </w:p>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不建议设立。原因：</w:t>
            </w:r>
            <w:r>
              <w:rPr>
                <w:rFonts w:hint="eastAsia" w:ascii="仿宋_GB2312" w:hAnsi="仿宋_GB2312" w:eastAsia="仿宋_GB2312" w:cs="仿宋_GB2312"/>
                <w:b w:val="0"/>
                <w:bCs w:val="0"/>
                <w:kern w:val="0"/>
                <w:sz w:val="21"/>
                <w:szCs w:val="21"/>
                <w:lang w:val="en-US" w:eastAsia="zh-CN"/>
              </w:rPr>
              <w:t xml:space="preserve">                                                 。</w:t>
            </w:r>
          </w:p>
          <w:p>
            <w:pPr>
              <w:adjustRightInd w:val="0"/>
              <w:snapToGrid w:val="0"/>
              <w:spacing w:beforeLines="0" w:afterLines="0" w:line="240" w:lineRule="auto"/>
              <w:ind w:left="0" w:firstLine="0" w:firstLineChars="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lang w:eastAsia="zh-CN"/>
              </w:rPr>
              <w:t>整改后设立。</w:t>
            </w:r>
            <w:r>
              <w:rPr>
                <w:rFonts w:hint="eastAsia" w:ascii="仿宋_GB2312" w:hAnsi="仿宋_GB2312" w:eastAsia="仿宋_GB2312" w:cs="仿宋_GB2312"/>
                <w:b w:val="0"/>
                <w:bCs w:val="0"/>
                <w:kern w:val="0"/>
                <w:sz w:val="21"/>
                <w:szCs w:val="21"/>
                <w:lang w:val="en-US" w:eastAsia="zh-CN"/>
              </w:rPr>
              <w:t xml:space="preserve">（整改措施：               </w:t>
            </w:r>
          </w:p>
          <w:p>
            <w:pPr>
              <w:adjustRightInd w:val="0"/>
              <w:snapToGrid w:val="0"/>
              <w:spacing w:beforeLines="0" w:afterLines="0" w:line="240" w:lineRule="auto"/>
              <w:ind w:left="0" w:firstLine="0" w:firstLineChars="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w:t>
            </w:r>
          </w:p>
          <w:p>
            <w:pPr>
              <w:adjustRightInd w:val="0"/>
              <w:snapToGrid w:val="0"/>
              <w:spacing w:beforeLines="0" w:afterLines="0" w:line="240" w:lineRule="auto"/>
              <w:ind w:firstLine="0" w:firstLineChars="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 xml:space="preserve">                                       申请方确认签名：              ）</w:t>
            </w:r>
          </w:p>
          <w:p>
            <w:pPr>
              <w:adjustRightInd w:val="0"/>
              <w:snapToGrid w:val="0"/>
              <w:spacing w:beforeLines="0" w:afterLines="0" w:line="240" w:lineRule="auto"/>
              <w:jc w:val="both"/>
              <w:rPr>
                <w:rFonts w:hint="eastAsia" w:ascii="仿宋_GB2312" w:hAnsi="仿宋_GB2312" w:eastAsia="仿宋_GB2312" w:cs="仿宋_GB2312"/>
                <w:b w:val="0"/>
                <w:bCs w:val="0"/>
                <w:sz w:val="21"/>
                <w:szCs w:val="21"/>
              </w:rPr>
            </w:pPr>
          </w:p>
          <w:p>
            <w:pPr>
              <w:adjustRightInd w:val="0"/>
              <w:snapToGrid w:val="0"/>
              <w:spacing w:beforeLines="0" w:afterLines="0"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w:t>
            </w:r>
            <w:r>
              <w:rPr>
                <w:rFonts w:hint="eastAsia" w:ascii="仿宋_GB2312" w:hAnsi="仿宋_GB2312" w:eastAsia="仿宋_GB2312" w:cs="仿宋_GB2312"/>
                <w:b w:val="0"/>
                <w:bCs w:val="0"/>
                <w:kern w:val="0"/>
                <w:sz w:val="21"/>
                <w:szCs w:val="21"/>
                <w:lang w:val="en-US" w:eastAsia="zh-CN"/>
              </w:rPr>
              <w:t>签名</w:t>
            </w:r>
            <w:r>
              <w:rPr>
                <w:rFonts w:hint="eastAsia" w:ascii="仿宋_GB2312" w:hAnsi="仿宋_GB2312" w:eastAsia="仿宋_GB2312" w:cs="仿宋_GB2312"/>
                <w:b w:val="0"/>
                <w:bCs w:val="0"/>
                <w:sz w:val="21"/>
                <w:szCs w:val="21"/>
              </w:rPr>
              <w:t xml:space="preserve"> 组长：                  成员：</w:t>
            </w:r>
          </w:p>
          <w:p>
            <w:pPr>
              <w:widowControl/>
              <w:adjustRightInd w:val="0"/>
              <w:snapToGrid w:val="0"/>
              <w:spacing w:beforeLines="0" w:afterLines="0" w:line="240" w:lineRule="auto"/>
              <w:ind w:firstLine="6720" w:firstLineChars="3200"/>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rPr>
              <w:t>年</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月</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7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b w:val="0"/>
                <w:bCs w:val="0"/>
                <w:kern w:val="0"/>
                <w:sz w:val="21"/>
                <w:szCs w:val="21"/>
                <w:lang w:eastAsia="zh-CN"/>
              </w:rPr>
              <w:t>整改结果</w:t>
            </w:r>
          </w:p>
        </w:tc>
        <w:tc>
          <w:tcPr>
            <w:tcW w:w="8683" w:type="dxa"/>
            <w:gridSpan w:val="8"/>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已整改完成，</w:t>
            </w:r>
            <w:r>
              <w:rPr>
                <w:rFonts w:hint="eastAsia" w:ascii="仿宋_GB2312" w:hAnsi="仿宋_GB2312" w:eastAsia="仿宋_GB2312" w:cs="仿宋_GB2312"/>
                <w:b w:val="0"/>
                <w:bCs w:val="0"/>
                <w:kern w:val="0"/>
                <w:sz w:val="21"/>
                <w:szCs w:val="21"/>
                <w:lang w:eastAsia="zh-CN"/>
              </w:rPr>
              <w:t>可以设立。</w:t>
            </w:r>
            <w:r>
              <w:rPr>
                <w:rFonts w:hint="eastAsia" w:ascii="仿宋_GB2312" w:hAnsi="仿宋_GB2312" w:eastAsia="仿宋_GB2312" w:cs="仿宋_GB2312"/>
                <w:b w:val="0"/>
                <w:bCs w:val="0"/>
                <w:kern w:val="0"/>
                <w:sz w:val="21"/>
                <w:szCs w:val="21"/>
              </w:rPr>
              <w:t xml:space="preserve">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未完成整改，</w:t>
            </w:r>
            <w:r>
              <w:rPr>
                <w:rFonts w:hint="eastAsia" w:ascii="仿宋_GB2312" w:hAnsi="仿宋_GB2312" w:eastAsia="仿宋_GB2312" w:cs="仿宋_GB2312"/>
                <w:b w:val="0"/>
                <w:bCs w:val="0"/>
                <w:kern w:val="0"/>
                <w:sz w:val="21"/>
                <w:szCs w:val="21"/>
                <w:lang w:eastAsia="zh-CN"/>
              </w:rPr>
              <w:t>不建议设立。</w:t>
            </w:r>
          </w:p>
          <w:p>
            <w:pPr>
              <w:adjustRightInd w:val="0"/>
              <w:snapToGrid w:val="0"/>
              <w:spacing w:beforeLines="0" w:afterLines="0" w:line="240" w:lineRule="auto"/>
              <w:ind w:left="0" w:leftChars="0" w:firstLine="0" w:firstLineChars="0"/>
              <w:jc w:val="both"/>
              <w:rPr>
                <w:rFonts w:hint="default" w:ascii="仿宋_GB2312" w:hAnsi="仿宋_GB2312" w:eastAsia="仿宋_GB2312" w:cs="仿宋_GB2312"/>
                <w:b w:val="0"/>
                <w:bCs w:val="0"/>
                <w:kern w:val="0"/>
                <w:sz w:val="21"/>
                <w:szCs w:val="21"/>
                <w:lang w:val="en-US" w:eastAsia="zh-CN"/>
              </w:rPr>
            </w:pPr>
          </w:p>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评估专家组 组长：</w:t>
            </w:r>
          </w:p>
          <w:p>
            <w:pPr>
              <w:adjustRightInd w:val="0"/>
              <w:snapToGrid w:val="0"/>
              <w:spacing w:beforeLines="0" w:afterLines="0" w:line="240" w:lineRule="auto"/>
              <w:ind w:left="0" w:leftChars="0" w:firstLine="0" w:firstLineChars="0"/>
              <w:jc w:val="center"/>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377" w:type="dxa"/>
            <w:noWrap w:val="0"/>
            <w:vAlign w:val="center"/>
          </w:tcPr>
          <w:p>
            <w:pPr>
              <w:widowControl/>
              <w:adjustRightInd w:val="0"/>
              <w:snapToGrid w:val="0"/>
              <w:spacing w:beforeLines="0" w:afterLines="0" w:line="240" w:lineRule="auto"/>
              <w:jc w:val="center"/>
              <w:rPr>
                <w:rFonts w:hint="eastAsia" w:ascii="仿宋_GB2312" w:hAnsi="仿宋_GB2312" w:eastAsia="仿宋_GB2312" w:cs="仿宋_GB2312"/>
                <w:color w:val="000000"/>
                <w:spacing w:val="0"/>
                <w:w w:val="100"/>
                <w:kern w:val="0"/>
                <w:sz w:val="21"/>
                <w:szCs w:val="21"/>
                <w:lang w:eastAsia="zh-CN"/>
              </w:rPr>
            </w:pPr>
            <w:r>
              <w:rPr>
                <w:rFonts w:hint="eastAsia" w:ascii="仿宋_GB2312" w:hAnsi="仿宋_GB2312" w:eastAsia="仿宋_GB2312" w:cs="仿宋_GB2312"/>
                <w:b w:val="0"/>
                <w:bCs w:val="0"/>
                <w:kern w:val="0"/>
                <w:sz w:val="21"/>
                <w:szCs w:val="21"/>
                <w:lang w:eastAsia="zh-CN"/>
              </w:rPr>
              <w:t>评估</w:t>
            </w:r>
            <w:r>
              <w:rPr>
                <w:rFonts w:hint="eastAsia" w:ascii="仿宋_GB2312" w:hAnsi="仿宋_GB2312" w:eastAsia="仿宋_GB2312" w:cs="仿宋_GB2312"/>
                <w:b w:val="0"/>
                <w:bCs w:val="0"/>
                <w:kern w:val="0"/>
                <w:sz w:val="21"/>
                <w:szCs w:val="21"/>
              </w:rPr>
              <w:t>机构意见</w:t>
            </w:r>
          </w:p>
        </w:tc>
        <w:tc>
          <w:tcPr>
            <w:tcW w:w="8683" w:type="dxa"/>
            <w:gridSpan w:val="8"/>
            <w:noWrap w:val="0"/>
            <w:vAlign w:val="center"/>
          </w:tcPr>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同意选址</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rPr>
              <w:t xml:space="preserve">    </w:t>
            </w:r>
          </w:p>
          <w:p>
            <w:pPr>
              <w:widowControl/>
              <w:adjustRightInd w:val="0"/>
              <w:snapToGrid w:val="0"/>
              <w:spacing w:beforeLines="0" w:afterLines="0" w:line="240" w:lineRule="auto"/>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不同意选址</w:t>
            </w:r>
            <w:r>
              <w:rPr>
                <w:rFonts w:hint="eastAsia" w:ascii="仿宋_GB2312" w:hAnsi="仿宋_GB2312" w:eastAsia="仿宋_GB2312" w:cs="仿宋_GB2312"/>
                <w:b w:val="0"/>
                <w:bCs w:val="0"/>
                <w:kern w:val="0"/>
                <w:sz w:val="21"/>
                <w:szCs w:val="21"/>
                <w:lang w:eastAsia="zh-CN"/>
              </w:rPr>
              <w:t>。</w:t>
            </w:r>
          </w:p>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b w:val="0"/>
                <w:bCs w:val="0"/>
                <w:kern w:val="0"/>
                <w:sz w:val="21"/>
                <w:szCs w:val="21"/>
              </w:rPr>
            </w:pPr>
          </w:p>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b w:val="0"/>
                <w:bCs w:val="0"/>
                <w:kern w:val="0"/>
                <w:sz w:val="21"/>
                <w:szCs w:val="21"/>
              </w:rPr>
            </w:pPr>
          </w:p>
          <w:p>
            <w:pPr>
              <w:adjustRightInd w:val="0"/>
              <w:snapToGrid w:val="0"/>
              <w:spacing w:beforeLines="0" w:afterLines="0" w:line="240" w:lineRule="auto"/>
              <w:ind w:left="5809" w:leftChars="1509" w:hanging="980" w:hangingChars="467"/>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r>
              <w:rPr>
                <w:rFonts w:hint="eastAsia" w:ascii="仿宋_GB2312" w:hAnsi="仿宋_GB2312" w:eastAsia="仿宋_GB2312" w:cs="仿宋_GB2312"/>
                <w:b w:val="0"/>
                <w:bCs w:val="0"/>
                <w:kern w:val="0"/>
                <w:sz w:val="21"/>
                <w:szCs w:val="21"/>
                <w:lang w:eastAsia="zh-CN"/>
              </w:rPr>
              <w:t>评估</w:t>
            </w:r>
            <w:r>
              <w:rPr>
                <w:rFonts w:hint="eastAsia" w:ascii="仿宋_GB2312" w:hAnsi="仿宋_GB2312" w:eastAsia="仿宋_GB2312" w:cs="仿宋_GB2312"/>
                <w:b w:val="0"/>
                <w:bCs w:val="0"/>
                <w:kern w:val="0"/>
                <w:sz w:val="21"/>
                <w:szCs w:val="21"/>
              </w:rPr>
              <w:t>机构盖章）</w:t>
            </w:r>
          </w:p>
          <w:p>
            <w:pPr>
              <w:adjustRightInd w:val="0"/>
              <w:snapToGrid w:val="0"/>
              <w:spacing w:beforeLines="0" w:afterLines="0" w:line="240" w:lineRule="auto"/>
              <w:ind w:left="0" w:leftChars="0" w:firstLine="5880" w:firstLineChars="2800"/>
              <w:jc w:val="both"/>
              <w:rPr>
                <w:rFonts w:hint="eastAsia" w:ascii="仿宋_GB2312" w:hAnsi="仿宋_GB2312" w:eastAsia="仿宋_GB2312" w:cs="仿宋_GB2312"/>
                <w:b/>
                <w:bCs/>
                <w:color w:val="000000"/>
                <w:spacing w:val="0"/>
                <w:w w:val="100"/>
                <w:kern w:val="0"/>
                <w:sz w:val="21"/>
                <w:szCs w:val="21"/>
              </w:rPr>
            </w:pPr>
            <w:r>
              <w:rPr>
                <w:rFonts w:hint="eastAsia" w:ascii="仿宋_GB2312" w:hAnsi="仿宋_GB2312" w:eastAsia="仿宋_GB2312" w:cs="仿宋_GB2312"/>
                <w:b w:val="0"/>
                <w:bCs w:val="0"/>
                <w:kern w:val="0"/>
                <w:sz w:val="21"/>
                <w:szCs w:val="21"/>
              </w:rPr>
              <w:t xml:space="preserve">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 xml:space="preserve">年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 xml:space="preserve"> 月  </w:t>
            </w:r>
            <w:r>
              <w:rPr>
                <w:rFonts w:hint="eastAsia" w:ascii="仿宋_GB2312" w:hAnsi="仿宋_GB2312" w:eastAsia="仿宋_GB2312" w:cs="仿宋_GB2312"/>
                <w:b w:val="0"/>
                <w:bCs w:val="0"/>
                <w:kern w:val="0"/>
                <w:sz w:val="21"/>
                <w:szCs w:val="21"/>
                <w:lang w:val="en-US" w:eastAsia="zh-CN"/>
              </w:rPr>
              <w:t xml:space="preserve">   </w:t>
            </w:r>
            <w:r>
              <w:rPr>
                <w:rFonts w:hint="eastAsia" w:ascii="仿宋_GB2312" w:hAnsi="仿宋_GB2312" w:eastAsia="仿宋_GB2312" w:cs="仿宋_GB2312"/>
                <w:b w:val="0"/>
                <w:bCs w:val="0"/>
                <w:kern w:val="0"/>
                <w:sz w:val="21"/>
                <w:szCs w:val="21"/>
              </w:rPr>
              <w:t xml:space="preserve"> 日</w:t>
            </w:r>
          </w:p>
        </w:tc>
      </w:tr>
    </w:tbl>
    <w:p>
      <w:pPr>
        <w:keepNext w:val="0"/>
        <w:keepLines w:val="0"/>
        <w:pageBreakBefore w:val="0"/>
        <w:widowControl w:val="0"/>
        <w:kinsoku/>
        <w:wordWrap/>
        <w:overflowPunct/>
        <w:topLinePunct w:val="0"/>
        <w:autoSpaceDE/>
        <w:autoSpaceDN/>
        <w:bidi w:val="0"/>
        <w:adjustRightInd/>
        <w:snapToGrid/>
        <w:spacing w:line="320" w:lineRule="exact"/>
        <w:ind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黑体" w:hAnsi="黑体" w:eastAsia="黑体" w:cs="黑体"/>
          <w:sz w:val="21"/>
          <w:szCs w:val="21"/>
          <w:lang w:val="en-US" w:eastAsia="zh-CN"/>
        </w:rPr>
        <w:t>备注</w:t>
      </w:r>
      <w:r>
        <w:rPr>
          <w:rFonts w:hint="eastAsia" w:ascii="仿宋_GB2312" w:hAnsi="仿宋_GB2312" w:eastAsia="仿宋_GB2312" w:cs="仿宋_GB2312"/>
          <w:sz w:val="21"/>
          <w:szCs w:val="21"/>
          <w:lang w:val="en-US" w:eastAsia="zh-CN"/>
        </w:rPr>
        <w:t>：1．综合得分为各评估项目得分之和，评审专家根据评估项目各自评定，最终得分取平均分。</w:t>
      </w:r>
    </w:p>
    <w:p>
      <w:pPr>
        <w:keepNext w:val="0"/>
        <w:keepLines w:val="0"/>
        <w:pageBreakBefore w:val="0"/>
        <w:widowControl w:val="0"/>
        <w:kinsoku/>
        <w:wordWrap/>
        <w:overflowPunct/>
        <w:topLinePunct w:val="0"/>
        <w:autoSpaceDE/>
        <w:autoSpaceDN/>
        <w:bidi w:val="0"/>
        <w:adjustRightInd/>
        <w:snapToGrid/>
        <w:spacing w:line="320" w:lineRule="exact"/>
        <w:ind w:left="880" w:leftChars="195" w:right="0" w:rightChars="0" w:hanging="256" w:hangingChars="122"/>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综合评估分值在80分以上(含80分)的,评估结论为“可以设立”。达不到80分的，但通过改进设施条件能达到的，由专家提出整改意见，申请方同意并承诺实施的，评估结论为“整改后设立”。整改期限为六个月，整改措施得到落实后，经专家组确认合格后视同评估“可以设立”。其他为“不建议设立”。</w:t>
      </w:r>
    </w:p>
    <w:p>
      <w:pPr>
        <w:keepNext w:val="0"/>
        <w:keepLines w:val="0"/>
        <w:pageBreakBefore w:val="0"/>
        <w:widowControl w:val="0"/>
        <w:kinsoku/>
        <w:wordWrap/>
        <w:overflowPunct/>
        <w:topLinePunct w:val="0"/>
        <w:autoSpaceDE/>
        <w:autoSpaceDN/>
        <w:bidi w:val="0"/>
        <w:adjustRightInd/>
        <w:snapToGrid/>
        <w:spacing w:line="320" w:lineRule="exact"/>
        <w:ind w:left="824" w:right="0" w:rightChars="0" w:hanging="840" w:hangingChars="4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3．第2-5项采用承诺方式评分，专家组当面征询被评估单位负责人员是否承诺场所建设后能达到评分细则各评分细项的要求，承诺的，给予计分；不承诺的，不予计分。被评估单位负责人员同时在评分细则栏进行承诺签名。若场所建成后达不到评估打分要求的，不予审查办理《动物防疫条件合格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E1269"/>
    <w:multiLevelType w:val="singleLevel"/>
    <w:tmpl w:val="643E126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159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 w:val="21"/>
      <w:szCs w:val="24"/>
    </w:r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3"/>
    <w:next w:val="2"/>
    <w:qFormat/>
    <w:uiPriority w:val="0"/>
    <w:pPr>
      <w:widowControl/>
      <w:spacing w:after="0" w:line="276" w:lineRule="auto"/>
      <w:ind w:firstLine="420"/>
      <w:textAlignment w:val="baseline"/>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2023-05-25T07:22:53Z</dcterms:created>
  <dc:creator>wuyin</dc:creator>
  <cp:lastModifiedBy>One</cp:lastModifiedBy>
  <dcterms:modified xsi:type="dcterms:W3CDTF">2023-05-25T07:23:22Z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528D2DB0B7824BEAA02FD0DD516745C4_12</vt:lpwstr>
  </property>
</Properties>
</file>