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Lines="0" w:afterLines="0" w:line="590" w:lineRule="exact"/>
        <w:ind w:firstLine="0" w:firstLineChars="0"/>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w:t>
      </w:r>
    </w:p>
    <w:p>
      <w:pPr>
        <w:rPr>
          <w:rFonts w:hint="eastAsia"/>
          <w:lang w:val="en-US" w:eastAsia="zh-CN"/>
        </w:rPr>
      </w:pPr>
    </w:p>
    <w:p>
      <w:pPr>
        <w:adjustRightInd w:val="0"/>
        <w:snapToGrid w:val="0"/>
        <w:spacing w:line="590" w:lineRule="exact"/>
        <w:jc w:val="center"/>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2023年保障粮食生产安全专项</w:t>
      </w:r>
      <w:r>
        <w:rPr>
          <w:rFonts w:hint="eastAsia" w:ascii="方正小标宋简体" w:hAnsi="方正小标宋简体" w:eastAsia="方正小标宋简体" w:cs="方正小标宋简体"/>
          <w:snapToGrid w:val="0"/>
          <w:kern w:val="0"/>
          <w:sz w:val="44"/>
          <w:szCs w:val="44"/>
          <w:lang w:eastAsia="zh-CN"/>
        </w:rPr>
        <w:t>资金（第二批）</w:t>
      </w:r>
      <w:r>
        <w:rPr>
          <w:rFonts w:hint="eastAsia" w:ascii="方正小标宋简体" w:hAnsi="方正小标宋简体" w:eastAsia="方正小标宋简体" w:cs="方正小标宋简体"/>
          <w:snapToGrid w:val="0"/>
          <w:kern w:val="0"/>
          <w:sz w:val="44"/>
          <w:szCs w:val="44"/>
        </w:rPr>
        <w:t>安排计划表</w:t>
      </w:r>
    </w:p>
    <w:p>
      <w:pPr>
        <w:pStyle w:val="2"/>
        <w:keepNext/>
        <w:keepLines/>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p>
    <w:p>
      <w:pPr>
        <w:adjustRightInd w:val="0"/>
        <w:snapToGrid w:val="0"/>
        <w:spacing w:line="590" w:lineRule="exact"/>
        <w:jc w:val="center"/>
        <w:rPr>
          <w:rFonts w:hint="eastAsia"/>
          <w:lang w:val="en-US" w:eastAsia="zh-CN"/>
        </w:rPr>
      </w:pPr>
      <w:r>
        <w:rPr>
          <w:rFonts w:hint="eastAsia" w:ascii="仿宋_GB2312" w:hAnsi="仿宋_GB2312" w:eastAsia="仿宋_GB2312" w:cs="仿宋_GB2312"/>
          <w:snapToGrid w:val="0"/>
          <w:kern w:val="0"/>
          <w:sz w:val="24"/>
          <w:szCs w:val="24"/>
          <w:lang w:val="en-US" w:eastAsia="zh-CN"/>
        </w:rPr>
        <w:t xml:space="preserve">                                                                                                     </w:t>
      </w:r>
      <w:r>
        <w:rPr>
          <w:rFonts w:hint="eastAsia" w:ascii="仿宋_GB2312" w:hAnsi="仿宋_GB2312" w:eastAsia="仿宋_GB2312" w:cs="仿宋_GB2312"/>
          <w:snapToGrid w:val="0"/>
          <w:kern w:val="0"/>
          <w:sz w:val="24"/>
          <w:szCs w:val="24"/>
        </w:rPr>
        <w:t>单位：万元</w:t>
      </w:r>
    </w:p>
    <w:tbl>
      <w:tblPr>
        <w:tblStyle w:val="4"/>
        <w:tblW w:w="13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1"/>
        <w:gridCol w:w="105"/>
        <w:gridCol w:w="1108"/>
        <w:gridCol w:w="1729"/>
        <w:gridCol w:w="4115"/>
        <w:gridCol w:w="4015"/>
        <w:gridCol w:w="871"/>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tblHead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4"/>
                <w:szCs w:val="24"/>
                <w:u w:val="none"/>
              </w:rPr>
            </w:pPr>
            <w:r>
              <w:rPr>
                <w:rFonts w:hint="eastAsia" w:ascii="黑体" w:hAnsi="黑体" w:eastAsia="黑体" w:cs="黑体"/>
                <w:b w:val="0"/>
                <w:bCs/>
                <w:i w:val="0"/>
                <w:color w:val="000000"/>
                <w:kern w:val="0"/>
                <w:sz w:val="24"/>
                <w:szCs w:val="24"/>
                <w:u w:val="none"/>
                <w:lang w:val="en-US" w:eastAsia="zh-CN" w:bidi="ar"/>
              </w:rPr>
              <w:t>市别</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4"/>
                <w:szCs w:val="24"/>
                <w:u w:val="none"/>
              </w:rPr>
            </w:pPr>
            <w:r>
              <w:rPr>
                <w:rFonts w:hint="eastAsia" w:ascii="黑体" w:hAnsi="黑体" w:eastAsia="黑体" w:cs="黑体"/>
                <w:b w:val="0"/>
                <w:bCs/>
                <w:i w:val="0"/>
                <w:color w:val="000000"/>
                <w:kern w:val="0"/>
                <w:sz w:val="24"/>
                <w:szCs w:val="24"/>
                <w:u w:val="none"/>
                <w:lang w:val="en-US" w:eastAsia="zh-CN" w:bidi="ar"/>
              </w:rPr>
              <w:t>项目承担单位</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4"/>
                <w:szCs w:val="24"/>
                <w:u w:val="none"/>
              </w:rPr>
            </w:pPr>
            <w:r>
              <w:rPr>
                <w:rFonts w:hint="eastAsia" w:ascii="黑体" w:hAnsi="黑体" w:eastAsia="黑体" w:cs="黑体"/>
                <w:b w:val="0"/>
                <w:bCs/>
                <w:i w:val="0"/>
                <w:color w:val="000000"/>
                <w:kern w:val="0"/>
                <w:sz w:val="24"/>
                <w:szCs w:val="24"/>
                <w:u w:val="none"/>
                <w:lang w:val="en-US" w:eastAsia="zh-CN" w:bidi="ar"/>
              </w:rPr>
              <w:t>建设内容</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4"/>
                <w:szCs w:val="24"/>
                <w:u w:val="none"/>
              </w:rPr>
            </w:pPr>
            <w:r>
              <w:rPr>
                <w:rFonts w:hint="eastAsia" w:ascii="黑体" w:hAnsi="黑体" w:eastAsia="黑体" w:cs="黑体"/>
                <w:b w:val="0"/>
                <w:bCs/>
                <w:i w:val="0"/>
                <w:color w:val="000000"/>
                <w:kern w:val="0"/>
                <w:sz w:val="24"/>
                <w:szCs w:val="24"/>
                <w:u w:val="none"/>
                <w:lang w:val="en-US" w:eastAsia="zh-CN" w:bidi="ar"/>
              </w:rPr>
              <w:t>绩效目标</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4"/>
                <w:szCs w:val="24"/>
                <w:u w:val="none"/>
              </w:rPr>
            </w:pPr>
            <w:r>
              <w:rPr>
                <w:rFonts w:hint="eastAsia" w:ascii="黑体" w:hAnsi="黑体" w:eastAsia="黑体" w:cs="黑体"/>
                <w:b w:val="0"/>
                <w:bCs/>
                <w:i w:val="0"/>
                <w:color w:val="000000"/>
                <w:kern w:val="0"/>
                <w:sz w:val="24"/>
                <w:szCs w:val="24"/>
                <w:u w:val="none"/>
                <w:lang w:val="en-US" w:eastAsia="zh-CN" w:bidi="ar"/>
              </w:rPr>
              <w:t>资金</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黑体" w:eastAsia="黑体" w:cs="黑体"/>
                <w:b w:val="0"/>
                <w:bCs/>
                <w:i w:val="0"/>
                <w:color w:val="000000"/>
                <w:kern w:val="0"/>
                <w:sz w:val="24"/>
                <w:szCs w:val="24"/>
                <w:u w:val="none"/>
              </w:rPr>
            </w:pPr>
            <w:r>
              <w:rPr>
                <w:rFonts w:hint="eastAsia" w:ascii="黑体" w:hAnsi="黑体" w:eastAsia="黑体" w:cs="黑体"/>
                <w:b w:val="0"/>
                <w:bCs/>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117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sz w:val="24"/>
                <w:szCs w:val="24"/>
                <w:highlight w:val="none"/>
                <w:lang w:val="en-US" w:eastAsia="zh-CN"/>
              </w:rPr>
              <w:t>合计</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23000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117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一、粮食生产先进市县激励资金</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8000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市级</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4000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韶关市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韶关市农业农村局</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eastAsia="zh-CN"/>
              </w:rPr>
              <w:t>汕尾市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汕尾市农业农村局</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湛江市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湛江市农业农村局</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肇庆市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肇庆市农业农村局</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揭阳市</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揭阳市农业农村局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（含直管县）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二</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县级</w:t>
            </w:r>
          </w:p>
        </w:tc>
        <w:tc>
          <w:tcPr>
            <w:tcW w:w="17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41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401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c>
          <w:tcPr>
            <w:tcW w:w="871"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4000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eastAsia="zh-CN"/>
              </w:rPr>
              <w:t>南雄市</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eastAsia="zh-CN"/>
              </w:rPr>
              <w:t>南雄市农业农村局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龙川县</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龙川县农业农村局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五华县</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五华县农业农村局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台山市</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台山市农业农村局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阳春市</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阳春市农业农村局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廉江市</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廉江市农业农村局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高州市</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高州市农业农村局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怀集县</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怀集县农业农村局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英德县</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英德县农业农村局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63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w:t>
            </w:r>
          </w:p>
        </w:tc>
        <w:tc>
          <w:tcPr>
            <w:tcW w:w="1213" w:type="dxa"/>
            <w:gridSpan w:val="2"/>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罗定县</w:t>
            </w:r>
          </w:p>
        </w:tc>
        <w:tc>
          <w:tcPr>
            <w:tcW w:w="172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罗定县农业农村局</w:t>
            </w:r>
          </w:p>
        </w:tc>
        <w:tc>
          <w:tcPr>
            <w:tcW w:w="41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 w:eastAsia="zh-CN" w:bidi="ar"/>
              </w:rPr>
              <w:t>统筹安排用于高标农田建设、集中育秧中心建设、烘干中心建设、统防统治等项目。</w:t>
            </w:r>
          </w:p>
        </w:tc>
        <w:tc>
          <w:tcPr>
            <w:tcW w:w="40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地方政府重农抓粮积极性进一步提高，粮食综合生产能力稳步提高。</w:t>
            </w:r>
          </w:p>
        </w:tc>
        <w:tc>
          <w:tcPr>
            <w:tcW w:w="87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400</w:t>
            </w:r>
          </w:p>
        </w:tc>
        <w:tc>
          <w:tcPr>
            <w:tcW w:w="1126"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trPr>
        <w:tc>
          <w:tcPr>
            <w:tcW w:w="11703" w:type="dxa"/>
            <w:gridSpan w:val="6"/>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二、省级绿色高质高效创建资金</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default"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7000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val="0"/>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广州市</w:t>
            </w:r>
          </w:p>
        </w:tc>
        <w:tc>
          <w:tcPr>
            <w:tcW w:w="1729"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从化区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80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增城区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80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汕头市</w:t>
            </w:r>
          </w:p>
        </w:tc>
        <w:tc>
          <w:tcPr>
            <w:tcW w:w="1729"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澄海区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213" w:type="dxa"/>
            <w:gridSpan w:val="2"/>
            <w:vMerge w:val="continue"/>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潮南区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5</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潮阳区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6</w:t>
            </w:r>
          </w:p>
        </w:tc>
        <w:tc>
          <w:tcPr>
            <w:tcW w:w="1213" w:type="dxa"/>
            <w:gridSpan w:val="2"/>
            <w:vMerge w:val="continue"/>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濠江区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7</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韶关市</w:t>
            </w: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始兴县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建设2个水稻（双季）绿色高质高效示范片；建设1个大豆绿色高质高效示范片；建设1个油菜绿色高质高效示范片。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大豆亩产200公斤以上，油菜籽亩产70公斤（白菜型）、150公斤（甘蓝型）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8</w:t>
            </w:r>
          </w:p>
        </w:tc>
        <w:tc>
          <w:tcPr>
            <w:tcW w:w="1213" w:type="dxa"/>
            <w:gridSpan w:val="2"/>
            <w:vMerge w:val="continue"/>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乳源县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建设2个水稻（双季）绿色高质高效示范片；建设1个油菜绿色高质高效示范片。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油菜籽亩产70公斤（白菜型）、150公斤（甘蓝型）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9</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翁源县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建设3个水稻（双季）绿色高质高效示范片；建设1个油菜绿色高质高效示范片。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油菜籽亩产70公斤（白菜型）、150公斤（甘蓝型）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10</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仁化县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建设2个水稻（双季）绿色高质高效示范片；建设2个油菜绿色高质高效示范片。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油菜籽亩产70公斤（白菜型）、150公斤（甘蓝型）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11</w:t>
            </w:r>
          </w:p>
        </w:tc>
        <w:tc>
          <w:tcPr>
            <w:tcW w:w="1213" w:type="dxa"/>
            <w:gridSpan w:val="2"/>
            <w:vMerge w:val="continue"/>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乐昌市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12</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南雄市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建设3个水稻（双季）绿色高质高效示范片；建设1个玉米绿色高质高效示范片；建设1个油菜绿色高质高效示范片。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玉米亩产1100公斤以上（鲜苞），油菜籽亩产70公斤（白菜型）、150公斤（甘蓝型）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13</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曲江区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14</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河源市</w:t>
            </w: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东源县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建设4个水稻（双季）绿色高质高效示范片。冬种特用小麦1个示范片。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特用小麦200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15</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紫金县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建设4个水稻（双季）绿色高质高效示范片。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16</w:t>
            </w:r>
          </w:p>
        </w:tc>
        <w:tc>
          <w:tcPr>
            <w:tcW w:w="1213" w:type="dxa"/>
            <w:gridSpan w:val="2"/>
            <w:vMerge w:val="continue"/>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和平县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17</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连平县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18</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龙川县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19</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梅州市</w:t>
            </w: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大埔县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20</w:t>
            </w:r>
          </w:p>
        </w:tc>
        <w:tc>
          <w:tcPr>
            <w:tcW w:w="1213" w:type="dxa"/>
            <w:gridSpan w:val="2"/>
            <w:vMerge w:val="continue"/>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兴宁市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建设5个水稻（双季）绿色高质高效示范片。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21</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五华县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建设4个水稻（双季）绿色高质高效示范片；建设1个甘薯绿色高质高效示范片。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甘薯（优质）亩产2000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22</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惠州市</w:t>
            </w: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博罗县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建设4个水稻（双季）绿色高质高效示范片。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23</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惠阳区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建设1个玉米绿色高质高效示范片。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玉米亩产1100公斤以上（鲜苞）（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24</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iCs w:val="0"/>
                <w:color w:val="000000"/>
                <w:kern w:val="0"/>
                <w:sz w:val="24"/>
                <w:szCs w:val="24"/>
                <w:u w:val="none"/>
                <w:lang w:val="en-US" w:eastAsia="zh-CN" w:bidi="ar"/>
              </w:rPr>
              <w:t>汕尾市</w:t>
            </w: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华侨管理区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25</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海丰县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建设3个水稻（双季）绿色高质高效示范片；建设1个甘薯绿色高质高效示范片。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甘薯（优质）亩产2000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26</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江门市</w:t>
            </w: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恩平市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27</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开平市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28</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台山市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29</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阳江市</w:t>
            </w: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高新区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30</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阳东区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建设4个水稻（双季）绿色高质高效示范片。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31</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阳春市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32</w:t>
            </w:r>
          </w:p>
        </w:tc>
        <w:tc>
          <w:tcPr>
            <w:tcW w:w="1213" w:type="dxa"/>
            <w:gridSpan w:val="2"/>
            <w:vMerge w:val="continue"/>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阳西县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33</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江城区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34</w:t>
            </w:r>
          </w:p>
        </w:tc>
        <w:tc>
          <w:tcPr>
            <w:tcW w:w="1213" w:type="dxa"/>
            <w:gridSpan w:val="2"/>
            <w:vMerge w:val="restart"/>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湛江市</w:t>
            </w: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雷州市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建设3个水稻（双季）绿色高质高效示范片；建设1个玉米绿色高质高效示范片；建设1个甘薯绿色高质高效示范片。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玉米亩产1100公斤以上（鲜苞），甘薯（优质）亩产2000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35</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遂溪县</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建设5个水稻（双季）绿色高质高效示范片。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36</w:t>
            </w:r>
          </w:p>
        </w:tc>
        <w:tc>
          <w:tcPr>
            <w:tcW w:w="1213" w:type="dxa"/>
            <w:gridSpan w:val="2"/>
            <w:vMerge w:val="continue"/>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Cs/>
                <w:i w:val="0"/>
                <w:iCs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廉江市</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建设5个水稻（双季）绿色高质高效示范片。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trPr>
        <w:tc>
          <w:tcPr>
            <w:tcW w:w="631" w:type="dxa"/>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37</w:t>
            </w:r>
          </w:p>
        </w:tc>
        <w:tc>
          <w:tcPr>
            <w:tcW w:w="1213" w:type="dxa"/>
            <w:gridSpan w:val="2"/>
            <w:vMerge w:val="continue"/>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坡头区</w:t>
            </w:r>
          </w:p>
        </w:tc>
        <w:tc>
          <w:tcPr>
            <w:tcW w:w="4115" w:type="dxa"/>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建设1个花生绿色高质高效示范片。</w:t>
            </w:r>
          </w:p>
        </w:tc>
        <w:tc>
          <w:tcPr>
            <w:tcW w:w="4015" w:type="dxa"/>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花生亩产300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38</w:t>
            </w:r>
          </w:p>
        </w:tc>
        <w:tc>
          <w:tcPr>
            <w:tcW w:w="1213"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茂名市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电白区</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建设5个水稻（双季）绿色高质高效示范片。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39</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茂南区</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建设4个水稻（双季）绿色高质高效示范片。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40</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化州市</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建设3个水稻（双季）绿色高质高效示范片；建设1个玉米绿色高质高效示范片；建设1个甘薯绿色高质高效示范片。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玉米亩产1100公斤以上（鲜苞），甘薯（优质）亩产2000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41</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高州市</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建设5个水稻（双季）绿色高质高效示范片。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42</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信宜市</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建设5个水稻（双季）绿色高质高效示范片。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43</w:t>
            </w:r>
          </w:p>
        </w:tc>
        <w:tc>
          <w:tcPr>
            <w:tcW w:w="1213"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滨海新区</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44</w:t>
            </w:r>
          </w:p>
        </w:tc>
        <w:tc>
          <w:tcPr>
            <w:tcW w:w="1213"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肇庆市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高要区</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45</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四会市</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46</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封开县</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建设2个水稻（双季）绿色高质高效示范片；建设1个玉米绿色高质高效示范片。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玉米亩产1100公斤以上（鲜苞）（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47</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广宁县</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48</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怀集县</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建设4个水稻（双季）绿色高质高效示范片；建设1个玉米绿色高质高效示范片。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玉米亩产1100公斤以上（鲜苞）（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49</w:t>
            </w:r>
          </w:p>
        </w:tc>
        <w:tc>
          <w:tcPr>
            <w:tcW w:w="1213"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德庆县</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建设1个玉米绿色高质高效示范片。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玉米亩产1100公斤以上（鲜苞）（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50</w:t>
            </w:r>
          </w:p>
        </w:tc>
        <w:tc>
          <w:tcPr>
            <w:tcW w:w="1213"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Cs/>
                <w:i w:val="0"/>
                <w:iCs w:val="0"/>
                <w:color w:val="000000"/>
                <w:kern w:val="0"/>
                <w:sz w:val="24"/>
                <w:szCs w:val="24"/>
                <w:u w:val="none"/>
                <w:lang w:val="en-US" w:eastAsia="zh-CN" w:bidi="ar"/>
              </w:rPr>
              <w:t>清远市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清新区</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51</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英德市</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建设1个水稻（双季）绿色高质高效示范片；建设3个大豆绿色高质高效示范片；建设1个油菜绿色高质高效示范片。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大豆亩产200公斤以上，油菜籽亩产70公斤（白菜型）、150公斤（甘蓝型）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52</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清城区</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53</w:t>
            </w:r>
          </w:p>
        </w:tc>
        <w:tc>
          <w:tcPr>
            <w:tcW w:w="1213"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连山县</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建设1个大豆绿色高质高效示范片；建设1个油菜绿色高质高效示范片。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大豆亩产200公斤以上，油菜籽亩产70公斤（白菜型）、150公斤（甘蓝型）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54</w:t>
            </w:r>
          </w:p>
        </w:tc>
        <w:tc>
          <w:tcPr>
            <w:tcW w:w="1213"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Cs/>
                <w:i w:val="0"/>
                <w:iCs w:val="0"/>
                <w:color w:val="000000"/>
                <w:kern w:val="0"/>
                <w:sz w:val="24"/>
                <w:szCs w:val="24"/>
                <w:u w:val="none"/>
                <w:lang w:val="en-US" w:eastAsia="zh-CN" w:bidi="ar"/>
              </w:rPr>
            </w:pPr>
            <w:r>
              <w:rPr>
                <w:rFonts w:hint="eastAsia" w:ascii="仿宋_GB2312" w:hAnsi="仿宋_GB2312" w:eastAsia="仿宋_GB2312" w:cs="仿宋_GB2312"/>
                <w:bCs/>
                <w:i w:val="0"/>
                <w:iCs w:val="0"/>
                <w:color w:val="000000"/>
                <w:kern w:val="0"/>
                <w:sz w:val="24"/>
                <w:szCs w:val="24"/>
                <w:u w:val="none"/>
                <w:lang w:val="en-US" w:eastAsia="zh-CN" w:bidi="ar"/>
              </w:rPr>
              <w:t>潮州市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饶平县</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建设2个水稻（双季）绿色高质高效示范片。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55</w:t>
            </w:r>
          </w:p>
        </w:tc>
        <w:tc>
          <w:tcPr>
            <w:tcW w:w="1213"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Cs/>
                <w:i w:val="0"/>
                <w:iCs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潮安区</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建设1个水稻（双季）绿色高质高效示范片。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56</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Cs/>
                <w:i w:val="0"/>
                <w:iCs w:val="0"/>
                <w:color w:val="000000"/>
                <w:kern w:val="0"/>
                <w:sz w:val="24"/>
                <w:szCs w:val="24"/>
                <w:u w:val="none"/>
                <w:lang w:val="en-US" w:eastAsia="zh-CN" w:bidi="ar"/>
              </w:rPr>
            </w:pPr>
            <w:r>
              <w:rPr>
                <w:rFonts w:hint="eastAsia" w:ascii="仿宋_GB2312" w:hAnsi="仿宋_GB2312" w:eastAsia="仿宋_GB2312" w:cs="仿宋_GB2312"/>
                <w:bCs/>
                <w:i w:val="0"/>
                <w:iCs w:val="0"/>
                <w:color w:val="000000"/>
                <w:kern w:val="0"/>
                <w:sz w:val="24"/>
                <w:szCs w:val="24"/>
                <w:u w:val="none"/>
                <w:lang w:val="en-US" w:eastAsia="zh-CN" w:bidi="ar"/>
              </w:rPr>
              <w:t>揭阳市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揭西县</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57</w:t>
            </w:r>
          </w:p>
        </w:tc>
        <w:tc>
          <w:tcPr>
            <w:tcW w:w="1213"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Cs/>
                <w:i w:val="0"/>
                <w:iCs w:val="0"/>
                <w:color w:val="000000"/>
                <w:kern w:val="0"/>
                <w:sz w:val="24"/>
                <w:szCs w:val="24"/>
                <w:u w:val="none"/>
                <w:lang w:val="en-US" w:eastAsia="zh-CN" w:bidi="ar"/>
              </w:rPr>
            </w:pPr>
            <w:r>
              <w:rPr>
                <w:rFonts w:hint="eastAsia" w:ascii="仿宋_GB2312" w:hAnsi="仿宋_GB2312" w:eastAsia="仿宋_GB2312" w:cs="仿宋_GB2312"/>
                <w:bCs/>
                <w:i w:val="0"/>
                <w:iCs w:val="0"/>
                <w:color w:val="000000"/>
                <w:kern w:val="0"/>
                <w:sz w:val="24"/>
                <w:szCs w:val="24"/>
                <w:u w:val="none"/>
                <w:lang w:val="en-US" w:eastAsia="zh-CN" w:bidi="ar"/>
              </w:rPr>
              <w:t>云浮市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罗定市</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Cs/>
                <w:i w:val="0"/>
                <w:color w:val="000000"/>
                <w:kern w:val="0"/>
                <w:sz w:val="24"/>
                <w:szCs w:val="24"/>
                <w:u w:val="none"/>
                <w:lang w:val="en-US" w:eastAsia="zh-CN" w:bidi="ar"/>
              </w:rPr>
              <w:t>58</w:t>
            </w:r>
          </w:p>
        </w:tc>
        <w:tc>
          <w:tcPr>
            <w:tcW w:w="1213" w:type="dxa"/>
            <w:gridSpan w:val="2"/>
            <w:vMerge w:val="continue"/>
            <w:tcBorders>
              <w:left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Cs/>
                <w:i w:val="0"/>
                <w:iCs w:val="0"/>
                <w:color w:val="000000"/>
                <w:kern w:val="0"/>
                <w:sz w:val="24"/>
                <w:szCs w:val="24"/>
                <w:u w:val="none"/>
                <w:lang w:val="en-US" w:eastAsia="zh-CN" w:bidi="ar"/>
              </w:rPr>
            </w:pP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新兴县</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both"/>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建设3个水稻（双季）绿色高质高效示范片。</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设立攻关田，两季水稻亩产1100公斤以上（亩产攻关目标最终以省级专家组根据品种和区域生产条件等综合测算各县目标后下达为准），示范带动相对连片千亩片平均亩产较当地目前平均亩产提升5%以上，化肥农药用量减少5%以上，危害损失率控制在5%以内。</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117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jc w:val="both"/>
              <w:textAlignment w:val="center"/>
              <w:rPr>
                <w:rFonts w:hint="eastAsia" w:ascii="仿宋_GB2312" w:hAnsi="仿宋_GB2312" w:eastAsia="仿宋_GB2312" w:cs="仿宋_GB2312"/>
                <w:b/>
                <w:bCs w:val="0"/>
                <w:i w:val="0"/>
                <w:color w:val="000000"/>
                <w:kern w:val="0"/>
                <w:sz w:val="24"/>
                <w:szCs w:val="24"/>
                <w:u w:val="none"/>
                <w:lang w:val="en-US" w:eastAsia="zh-CN" w:bidi="ar"/>
              </w:rPr>
            </w:pPr>
            <w:r>
              <w:rPr>
                <w:rFonts w:hint="eastAsia" w:ascii="仿宋_GB2312" w:hAnsi="仿宋_GB2312" w:eastAsia="仿宋_GB2312" w:cs="仿宋_GB2312"/>
                <w:b/>
                <w:bCs w:val="0"/>
                <w:i w:val="0"/>
                <w:color w:val="000000"/>
                <w:kern w:val="0"/>
                <w:sz w:val="24"/>
                <w:szCs w:val="24"/>
                <w:u w:val="none"/>
                <w:lang w:val="en-US" w:eastAsia="zh-CN" w:bidi="ar"/>
              </w:rPr>
              <w:t>三、规模化水稻育秧中心建设资金</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240" w:lineRule="auto"/>
              <w:jc w:val="center"/>
              <w:textAlignment w:val="center"/>
              <w:rPr>
                <w:rFonts w:hint="eastAsia" w:ascii="仿宋_GB2312" w:hAnsi="仿宋_GB2312" w:eastAsia="仿宋_GB2312" w:cs="仿宋_GB2312"/>
                <w:b/>
                <w:bCs w:val="0"/>
                <w:i w:val="0"/>
                <w:iCs w:val="0"/>
                <w:color w:val="000000"/>
                <w:kern w:val="0"/>
                <w:sz w:val="24"/>
                <w:szCs w:val="24"/>
                <w:u w:val="none"/>
                <w:lang w:val="en-US" w:eastAsia="zh-CN" w:bidi="ar"/>
              </w:rPr>
            </w:pPr>
            <w:r>
              <w:rPr>
                <w:rFonts w:hint="eastAsia" w:ascii="仿宋_GB2312" w:hAnsi="仿宋_GB2312" w:cs="仿宋_GB2312"/>
                <w:b/>
                <w:bCs w:val="0"/>
                <w:i w:val="0"/>
                <w:iCs w:val="0"/>
                <w:color w:val="000000"/>
                <w:kern w:val="0"/>
                <w:sz w:val="24"/>
                <w:szCs w:val="24"/>
                <w:u w:val="none"/>
                <w:lang w:val="en-US" w:eastAsia="zh-CN" w:bidi="ar"/>
              </w:rPr>
              <w:t>5</w:t>
            </w:r>
            <w:r>
              <w:rPr>
                <w:rFonts w:hint="eastAsia" w:ascii="仿宋_GB2312" w:hAnsi="仿宋_GB2312" w:eastAsia="仿宋_GB2312" w:cs="仿宋_GB2312"/>
                <w:b/>
                <w:bCs w:val="0"/>
                <w:i w:val="0"/>
                <w:iCs w:val="0"/>
                <w:color w:val="000000"/>
                <w:kern w:val="0"/>
                <w:sz w:val="24"/>
                <w:szCs w:val="24"/>
                <w:u w:val="none"/>
                <w:lang w:val="en-US" w:eastAsia="zh-CN" w:bidi="ar"/>
              </w:rPr>
              <w:t>000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b/>
                <w:bCs w:val="0"/>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8"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 w:eastAsia="zh-CN" w:bidi="ar"/>
              </w:rPr>
            </w:pPr>
            <w:r>
              <w:rPr>
                <w:rFonts w:hint="eastAsia" w:ascii="仿宋_GB2312" w:hAnsi="仿宋_GB2312" w:eastAsia="仿宋_GB2312" w:cs="仿宋_GB2312"/>
                <w:bCs/>
                <w:color w:val="000000"/>
                <w:kern w:val="0"/>
                <w:sz w:val="24"/>
                <w:szCs w:val="24"/>
                <w:lang w:val="en" w:eastAsia="zh-CN" w:bidi="ar"/>
              </w:rPr>
              <w:t>肇庆市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eastAsia="zh-CN" w:bidi="ar"/>
              </w:rPr>
              <w:t>肇庆怀集</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省供销社</w:t>
            </w:r>
          </w:p>
          <w:p>
            <w:pPr>
              <w:adjustRightInd w:val="0"/>
              <w:snapToGrid w:val="0"/>
              <w:spacing w:line="240"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Cs/>
                <w:color w:val="000000"/>
                <w:kern w:val="0"/>
                <w:sz w:val="24"/>
                <w:szCs w:val="24"/>
                <w:lang w:eastAsia="zh-CN" w:bidi="ar"/>
              </w:rPr>
              <w:t>（</w:t>
            </w:r>
            <w:r>
              <w:rPr>
                <w:rFonts w:hint="eastAsia" w:ascii="仿宋_GB2312" w:hAnsi="仿宋_GB2312" w:eastAsia="仿宋_GB2312" w:cs="仿宋_GB2312"/>
                <w:bCs/>
                <w:color w:val="000000"/>
                <w:kern w:val="0"/>
                <w:sz w:val="24"/>
                <w:szCs w:val="24"/>
                <w:lang w:bidi="ar"/>
              </w:rPr>
              <w:t>怀集新供销天润</w:t>
            </w:r>
            <w:r>
              <w:rPr>
                <w:rFonts w:hint="eastAsia" w:ascii="仿宋_GB2312" w:hAnsi="仿宋_GB2312" w:eastAsia="仿宋_GB2312" w:cs="仿宋_GB2312"/>
                <w:bCs/>
                <w:color w:val="000000"/>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广州市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从化</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广州宇从农机专业合作社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汕头市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潮阳</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汕头市潮阳区关埠茂盛农场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韶关市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始兴</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始兴县利民农机专业合作社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河源市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紫金</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河源喜得鲜农业发展有限责任公司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梅州市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蕉岭</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梅州市建丰粮业发展有限公司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惠州市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惠东</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惠州市惠和山农业发展有限公司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8</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汕尾市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陆丰</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陆丰市支农农机专业合作社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江门市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开平</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开平市金箩米业有限公司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江门市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开平</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开平市永晖农机专业合作社联合社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阳江市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阳东</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阳江市漠阳香农业发展有限公司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湛江市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廉江</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廉江市廉青种植有限公司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湛江市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廉江</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广东湛绿农业科技开发有限公司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茂名市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茂南</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茂名市万粤食品有限公司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茂名市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化州</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茂名市粤美生物科技有限公司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肇庆市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怀集</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 xml:space="preserve">怀集县新辉园农机专业合作社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肇庆市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怀集</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 xml:space="preserve"> 肇庆碧澜农业科技服务有限公司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清远市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清新</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广东远良米业有限公司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揭阳市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揭东</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揭阳市福隆农业有限公司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73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云浮市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罗定</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建设育秧温室大棚设施及配套设备，包括温室大棚主体钢结构、覆盖材料等系统，水稻育秧播种流水线、催芽室、苗床、秧架、输送系统、数字化应用装备以及智慧农业装备等。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示范推广规模化水稻育秧模式，形成一项以上可复制、易推广的水稻集中育秧技术模式。供秧面积1000亩及以上，秧苗质量稳定，适合机械化栽植需要。</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bidi="ar"/>
              </w:rPr>
              <w:t>罗定市罗镜镇泷龙农作物专业合作社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117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四、培育重点省级“全程机械化+综合农事”服务联合体建设资金</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2000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8"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广州市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广州市从化区大旺莱农机专业合作社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韶关市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韶关市曲江区胜意农机专业合作社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阳江市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阳江市漠阳香农业发展有限公司</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茂名市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化州市惜众农机专业合作社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清远市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英德市东华兴民农机专业合作社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汕头市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汕头市潮阳区顺杰农机种养专业合作社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湛江市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遂溪县好帮手农业机械专业合作社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梅州市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兴宁市润丰农业专业合作社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汕尾市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海丰县柑园种植专业合作社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韶关市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仁化县向阳农机专业合作社 </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安装监测终端的轮式拖拉机、旋耕机（中箱）、自走式履带式旋耕机、乘坐式水稻高速插秧机、农用无人机、配套侧深施肥装置等，配套建设谷仓辅助设备（如液压卸粮翻板机等），安装的农机监测终端的监测数据与省农机作业信息化管理系统实现对接。开展农机化实用人才培训等。</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带动所在县域各镇开展全程全面机械化和综合农事服务，服务能力明显提升。举办农机化新技术、装备展示推广和培训活动不少于3期，培训农机维修、操作等技术人员400人次以上。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1170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五、提升拖拉机和联合收割机驾驶培训服务能力建设资金</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1000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8"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梅州市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蕉岭县伟强农机专业合作社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肇庆市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高要区长城农机培训有限公司</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河源市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和平县农机学校</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3"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4</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阳江市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阳春市农机技术学校</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5</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江门市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开平市永晖农机专业合作社联合社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6</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湛江市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遂溪县半岛农业（湛江）有限公司</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7</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清远市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英德市英发拖拉机驾驶员培训有限公司</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8</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汕尾市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陆丰市聚农农用机械驾培中心</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9</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茂名市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电白区农机学校</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tblHeader/>
          <w:jc w:val="center"/>
        </w:trPr>
        <w:tc>
          <w:tcPr>
            <w:tcW w:w="6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w:t>
            </w: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韶关市</w:t>
            </w:r>
          </w:p>
        </w:tc>
        <w:tc>
          <w:tcPr>
            <w:tcW w:w="172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始兴县鸿发农机专业合作社</w:t>
            </w:r>
          </w:p>
        </w:tc>
        <w:tc>
          <w:tcPr>
            <w:tcW w:w="4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建成拖拉机和联合收割机技能培训中心，配置5台以上检验合格的教练车辆，并配备相应的农机具，配套比例不低于1：2，教学模具≥1套,模拟驾驶培训装备≥1套，移动桩考仪≥1套，移动检测线≥5套。</w:t>
            </w:r>
          </w:p>
        </w:tc>
        <w:tc>
          <w:tcPr>
            <w:tcW w:w="4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color w:val="000000"/>
                <w:sz w:val="24"/>
                <w:szCs w:val="24"/>
              </w:rPr>
              <w:t>扶持建设1个拖拉机和联合收割机技能培训中心，培训合格率达90%以上。举办拖拉机和联合收割机驾驶培训活动不少于5期，培训拖拉机和联合收割机驾驶人员300人次以上。</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textAlignment w:val="center"/>
              <w:rPr>
                <w:rFonts w:hint="eastAsia" w:ascii="仿宋_GB2312" w:hAnsi="仿宋_GB2312" w:eastAsia="仿宋_GB2312" w:cs="仿宋_GB2312"/>
                <w:bCs/>
                <w:color w:val="000000"/>
                <w:kern w:val="0"/>
                <w:sz w:val="24"/>
                <w:szCs w:val="24"/>
                <w:lang w:bidi="ar"/>
              </w:rPr>
            </w:pPr>
          </w:p>
        </w:tc>
      </w:tr>
    </w:tbl>
    <w:p>
      <w:pPr>
        <w:pStyle w:val="2"/>
        <w:rPr>
          <w:rFonts w:hint="eastAsia"/>
          <w:lang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1C2D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6" w:lineRule="exact"/>
      <w:jc w:val="both"/>
    </w:pPr>
    <w:rPr>
      <w:rFonts w:ascii="Times New Roman" w:hAnsi="Times New Roman" w:eastAsia="仿宋_GB2312" w:cs="Times New Roman"/>
      <w:kern w:val="2"/>
      <w:sz w:val="32"/>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2023-04-26T07:37:37Z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FE884EDC5FD249F297AE957227255015_12</vt:lpwstr>
  </property>
</Properties>
</file>