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auto"/>
        <w:spacing w:before="0" w:beforeAutospacing="0" w:after="0" w:afterAutospacing="0"/>
        <w:rPr>
          <w:rFonts w:hint="eastAsia" w:ascii="黑体" w:hAnsi="黑体" w:eastAsia="黑体" w:cs="黑体"/>
          <w:snapToGrid w:val="0"/>
          <w:color w:val="auto"/>
          <w:sz w:val="32"/>
          <w:szCs w:val="32"/>
        </w:rPr>
      </w:pPr>
      <w:r>
        <w:rPr>
          <w:rFonts w:hint="eastAsia" w:ascii="黑体" w:hAnsi="黑体" w:eastAsia="黑体" w:cs="黑体"/>
          <w:snapToGrid w:val="0"/>
          <w:color w:val="auto"/>
          <w:sz w:val="32"/>
          <w:szCs w:val="32"/>
        </w:rPr>
        <w:t>附件</w:t>
      </w:r>
    </w:p>
    <w:p>
      <w:pPr>
        <w:pStyle w:val="4"/>
        <w:shd w:val="clear" w:color="auto" w:fill="auto"/>
        <w:spacing w:before="0" w:beforeAutospacing="0" w:after="0" w:afterAutospacing="0"/>
        <w:rPr>
          <w:rFonts w:hint="eastAsia" w:ascii="仿宋_GB2312" w:hAnsi="仿宋_GB2312" w:eastAsia="仿宋_GB2312" w:cs="仿宋_GB2312"/>
          <w:snapToGrid w:val="0"/>
          <w:color w:val="auto"/>
          <w:sz w:val="32"/>
          <w:szCs w:val="32"/>
        </w:rPr>
      </w:pPr>
    </w:p>
    <w:p>
      <w:pPr>
        <w:pStyle w:val="4"/>
        <w:widowControl w:val="0"/>
        <w:shd w:val="clear" w:color="auto" w:fill="auto"/>
        <w:adjustRightInd w:val="0"/>
        <w:snapToGrid w:val="0"/>
        <w:spacing w:before="0" w:beforeAutospacing="0" w:after="0" w:afterAutospacing="0" w:line="590" w:lineRule="exact"/>
        <w:jc w:val="center"/>
        <w:rPr>
          <w:rFonts w:hint="eastAsia" w:ascii="方正小标宋简体" w:hAnsi="方正小标宋简体" w:eastAsia="方正小标宋简体" w:cs="方正小标宋简体"/>
          <w:snapToGrid w:val="0"/>
          <w:color w:val="auto"/>
          <w:spacing w:val="-10"/>
          <w:sz w:val="44"/>
          <w:szCs w:val="44"/>
        </w:rPr>
      </w:pPr>
      <w:bookmarkStart w:id="0" w:name="_GoBack"/>
      <w:r>
        <w:rPr>
          <w:rFonts w:hint="eastAsia" w:ascii="方正小标宋简体" w:hAnsi="方正小标宋简体" w:eastAsia="方正小标宋简体" w:cs="方正小标宋简体"/>
          <w:snapToGrid w:val="0"/>
          <w:color w:val="auto"/>
          <w:spacing w:val="-10"/>
          <w:sz w:val="44"/>
          <w:szCs w:val="44"/>
        </w:rPr>
        <w:t>2021年度广东省农业技术推广奖奖金安排表</w:t>
      </w:r>
    </w:p>
    <w:bookmarkEnd w:id="0"/>
    <w:p>
      <w:pPr>
        <w:wordWrap w:val="0"/>
        <w:rPr>
          <w:rFonts w:hint="eastAsia" w:ascii="黑体" w:hAnsi="黑体" w:eastAsia="黑体" w:cs="黑体"/>
          <w:b/>
          <w:bCs/>
          <w:snapToGrid w:val="0"/>
          <w:color w:val="auto"/>
          <w:kern w:val="0"/>
          <w:sz w:val="32"/>
          <w:szCs w:val="32"/>
        </w:rPr>
      </w:pPr>
    </w:p>
    <w:tbl>
      <w:tblPr>
        <w:tblStyle w:val="5"/>
        <w:tblW w:w="5320" w:type="pct"/>
        <w:tblInd w:w="-344" w:type="dxa"/>
        <w:tblLayout w:type="autofit"/>
        <w:tblCellMar>
          <w:top w:w="0" w:type="dxa"/>
          <w:left w:w="108" w:type="dxa"/>
          <w:bottom w:w="0" w:type="dxa"/>
          <w:right w:w="108" w:type="dxa"/>
        </w:tblCellMar>
      </w:tblPr>
      <w:tblGrid>
        <w:gridCol w:w="1387"/>
        <w:gridCol w:w="967"/>
        <w:gridCol w:w="3447"/>
        <w:gridCol w:w="2826"/>
        <w:gridCol w:w="1013"/>
      </w:tblGrid>
      <w:tr>
        <w:tblPrEx>
          <w:tblCellMar>
            <w:top w:w="0" w:type="dxa"/>
            <w:left w:w="108" w:type="dxa"/>
            <w:bottom w:w="0" w:type="dxa"/>
            <w:right w:w="108" w:type="dxa"/>
          </w:tblCellMar>
        </w:tblPrEx>
        <w:trPr>
          <w:trHeight w:val="396" w:hRule="atLeast"/>
          <w:tblHeader/>
        </w:trPr>
        <w:tc>
          <w:tcPr>
            <w:tcW w:w="7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单位</w:t>
            </w:r>
          </w:p>
        </w:tc>
        <w:tc>
          <w:tcPr>
            <w:tcW w:w="501" w:type="pct"/>
            <w:tcBorders>
              <w:top w:val="single" w:color="auto" w:sz="4" w:space="0"/>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金额</w:t>
            </w:r>
          </w:p>
        </w:tc>
        <w:tc>
          <w:tcPr>
            <w:tcW w:w="1787" w:type="pct"/>
            <w:tcBorders>
              <w:top w:val="single" w:color="000000" w:sz="4" w:space="0"/>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项目名称</w:t>
            </w:r>
          </w:p>
        </w:tc>
        <w:tc>
          <w:tcPr>
            <w:tcW w:w="1465" w:type="pct"/>
            <w:tcBorders>
              <w:top w:val="single" w:color="000000" w:sz="4" w:space="0"/>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第一完成单位</w:t>
            </w:r>
          </w:p>
        </w:tc>
        <w:tc>
          <w:tcPr>
            <w:tcW w:w="525" w:type="pct"/>
            <w:tcBorders>
              <w:top w:val="single" w:color="000000" w:sz="4" w:space="0"/>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获奖等级</w:t>
            </w:r>
          </w:p>
        </w:tc>
      </w:tr>
      <w:tr>
        <w:tblPrEx>
          <w:tblCellMar>
            <w:top w:w="0" w:type="dxa"/>
            <w:left w:w="108" w:type="dxa"/>
            <w:bottom w:w="0" w:type="dxa"/>
            <w:right w:w="108" w:type="dxa"/>
          </w:tblCellMar>
        </w:tblPrEx>
        <w:trPr>
          <w:trHeight w:val="404"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总计</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213.09</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　</w:t>
            </w:r>
          </w:p>
        </w:tc>
      </w:tr>
      <w:tr>
        <w:tblPrEx>
          <w:tblCellMar>
            <w:top w:w="0" w:type="dxa"/>
            <w:left w:w="108" w:type="dxa"/>
            <w:bottom w:w="0" w:type="dxa"/>
            <w:right w:w="108" w:type="dxa"/>
          </w:tblCellMar>
        </w:tblPrEx>
        <w:trPr>
          <w:trHeight w:val="27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广州</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8.53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　</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凡纳滨对虾“海兴农2号”良种选育和健康养殖产业化</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广东海兴农集团有限公司</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一等奖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红火蚁智能防控社会化服务体系创建与推广应用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广州瑞丰生物科技有限公司</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融合智能农机应用的水稻机械化技术集成及示范推广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广州市农业机械化技术推广站</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优势农作物智能化与标准化生产技术的示范推广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广州市健坤网络科技发展</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有限公司</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农产品质量安全全链条检测平台建设与应用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广州市农业科学研究院</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高产优质杂交稻组合五优613的选育与</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广东省金稻种业有限公司</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27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深圳</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4.06</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63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畜禽产品质量安全精准控制技术应用</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深圳市质量安全检验检测研究院</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食品农产品中农药残留风险识别关键技术研究应用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深圳市质量安全检验检测研究院</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芈心一号白菜薹新品种应用推广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深圳市农业科技促进中心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27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汕头</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2.53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利宝芥蓝品种和芥蓝生产技术规程的推广应用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广东和利农生物种业股份</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有限公司</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优质杂交水稻天优697、振优1993的示范与推广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汕头市农业科学研究所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27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佛山</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2</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蔬菜无土栽培技术研究与示范</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佛山市农业科学研究所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spacing w:val="-6"/>
                <w:kern w:val="0"/>
                <w:sz w:val="18"/>
                <w:szCs w:val="18"/>
              </w:rPr>
              <w:t>华南双季稻安全生产技术集成及推广应用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佛山市植宝生态科技有限公司</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27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韶关</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7</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37"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国家良种“璠龙系列”油茶产业科技服务平台研发与应用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韶关市友丰生态园林开发</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有限公司</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一等奖</w:t>
            </w:r>
          </w:p>
        </w:tc>
      </w:tr>
      <w:tr>
        <w:tblPrEx>
          <w:tblCellMar>
            <w:top w:w="0" w:type="dxa"/>
            <w:left w:w="108" w:type="dxa"/>
            <w:bottom w:w="0" w:type="dxa"/>
            <w:right w:w="108" w:type="dxa"/>
          </w:tblCellMar>
        </w:tblPrEx>
        <w:trPr>
          <w:trHeight w:val="626"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有机无机复合多功能土壤调理剂的研发及产业化推广应用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广东维特农业科技有限公司</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一等奖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spacing w:val="-6"/>
                <w:kern w:val="0"/>
                <w:sz w:val="18"/>
                <w:szCs w:val="18"/>
              </w:rPr>
              <w:t>畜禽养殖异位发酵床技术示范与应用推广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乳源瑶族自治县一六镇公共</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服务中心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27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梅州</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6.53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梅州柚病虫害绿色综合防控技术集成与示范推广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梅州市农林科学院果树研究所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spacing w:val="-6"/>
                <w:kern w:val="0"/>
                <w:sz w:val="18"/>
                <w:szCs w:val="18"/>
              </w:rPr>
              <w:t>草鱼出血病免疫技术梅州山区推广与应用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梅州市梅江区农业技术服务中心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蔬菜工厂化育苗技术创新与应用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梅州市乐得鲜农业开发有限公司</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优质丝苗香稻新品种新技术示范推广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广东米粒农业发展有限公司</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苦瓜春季早栽绿色高效栽培技术研究与示范推广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梅州市农林科学院蔬菜研究所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毛竹林下种植白及新技术的应用与推广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广东客嘉源南药种植有限公司</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27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惠州</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5.06</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黄喉拟水龟标准化养殖模式示范与推广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惠州市渔业研究推广中心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惠州市以菜稻轮作为主的品质蔬菜栽培技术推广应用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惠州市惠阳区农业农村综合</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服务中心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赤岸蚝综合标准化养殖技术推广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惠东县水产技术推广站</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耕地质量提升及化肥减量增效关键技术示范推广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惠州市惠城区农业技术推广中心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27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中山</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3.53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广式腊味产业技术创新及推广应用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中山市黄圃镇农业服务中心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饲料中甲基汞检测方法的研究与应用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中山市农产品质量安全检验所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中山市稻米镉污染检测新方法及防控技术推广应用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中山市三乡镇农业服务中心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27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江门</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水稻生产全程机械化技术推广应用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开平市农业机械化技术推广</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服务站</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27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阳江</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4</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黄鳍鲷种苗繁育技术研发及产业化繁育</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阳江市渔乡子水产科技实业</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有限公司</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南美白对虾良种规模化培育技术研究与推广示范应用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阳西县康顺虾苗场</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高产优质花生新品种“仲恺花99”的推广应用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阳江市农作物技术推广站</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水果型小番茄绿色高效栽培技术的示范推广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阳江市农业科学研究所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27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湛江</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4.53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反季节种鹅孵化与生态养殖技术推广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吴川市大山江街道农业技术</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服务中心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湛江市水稻机械精量穴直播技术示范与推广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湛江市农业机械推广站</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spacing w:val="-6"/>
                <w:kern w:val="0"/>
                <w:sz w:val="18"/>
                <w:szCs w:val="18"/>
              </w:rPr>
              <w:t>凡纳滨对虾功能饲料关键技术研发及示范</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湛江恒兴特种饲料有限公司</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廉江市土壤酸化耕地治理技术推广应用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廉江市农业技术推广中心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27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茂名</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9.06</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非洲猪瘟疫情下生猪复产技术示范推广项目</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茂名市动物疫病预防控制中心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电白区秋冬樱桃小番茄规模化标准化种植推广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茂名市电白区农业技术推广中心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生猪产业科技创新与集成示范推广应用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茂名市农业科技推广中心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新品种“吉奥罗非鱼”繁育与养殖示范推广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广东伟业罗非鱼良种有限公司</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罗非鱼高效能高品质低耗能加工技术示范与推广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茂名鸿业水产有限公司</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蔬菜提质增效关键技术研究与推广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茂名市农业科技推广中心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千禧番茄嫁接苗高效栽培技术示范推广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茂名市茂南区农业技术推广中心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北运菜技术集成与产业化应用推广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高州市农业科技事务中心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27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肇庆</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4</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“一见钟情”甘蓝品种及其标准化生产推广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怀集县农业技术推广中心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封开麒麟李种植标准化示范与推广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封开县果树研究所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高油高产花生仲恺花1号在肇庆的推广应用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肇庆市农业科学研究所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草地贪夜蛾监测与防控</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肇庆市农业良种示范推广中心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27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清远</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4.53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蔬菜水肥高效利用关键技术集成与示范推广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广东金正大生态工程有限公司</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英德市茶叶有机肥替代化肥技术示范</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英德市农业技术推广中心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优质水果默科特引进与示范及无公害栽培技术集成推广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连山壮族瑶族自治县农业科学</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粤北地区花生地膜覆盖高产栽培技术示范与推广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阳山县农业科技推广服务中心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27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潮州</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2</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南方葡萄的引种及配套栽培技术的示范与推广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潮州市果树研究所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潮州市杨桃衰退树复壮技术研究与示范</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潮州市湘桥区磷官铁农业工作站</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27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揭阳</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spacing w:val="-6"/>
                <w:kern w:val="0"/>
                <w:sz w:val="18"/>
                <w:szCs w:val="18"/>
              </w:rPr>
              <w:t>优质蔬菜水肥一体化技术示范与推广应用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普宁市农业农村综合服务中心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27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云浮</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4</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spacing w:val="-6"/>
                <w:kern w:val="0"/>
                <w:sz w:val="18"/>
                <w:szCs w:val="18"/>
              </w:rPr>
              <w:t>番鸭新品种培育及健康养殖技术推广应用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温氏食品集团股份有限公司</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一等奖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养殖舍智能环境控制系统的研发与推广应用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广东南牧机械设备有限公司</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广东省农业农村厅</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9.53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spacing w:val="-6"/>
                <w:kern w:val="0"/>
                <w:sz w:val="18"/>
                <w:szCs w:val="18"/>
              </w:rPr>
              <w:t>广东特色茶连续化加工技术装备推广应用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广东省现代农业装备研究所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一等奖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水稻重大病虫绿色防控技术研究与示范推广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广东省农业有害生物预警防控中心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一等奖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xml:space="preserve">高床养殖废弃物资源化利用关键装备的研制及应用推广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广东省现代农业装备研究所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畜禽养殖场固废清理技术及装备研发与集成应用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广东省现代农业装备研究所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5G智慧畜禽养殖场景集成技术研究与示范推广应用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广州国家现代农业产业科技</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创新中心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广东省</w:t>
            </w:r>
          </w:p>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林业局</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21.12</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26"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广东滩涂湿地生态系统功能诊断及定向提升技术研发与示范推广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广东省林业科学研究院</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一等奖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梅片树高效繁育及栽培技术推广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梅州市农林科学院林业研究所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一等奖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潮汕地区碳汇造林树种选择及配置模式研究与推广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汕头市林业科学研究所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广东非木质林产品经营认证研究与应用推广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广东省林业科学研究院</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765"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粤港澳大湾区药用植物种质资源保存、繁育、质量评价与开发利用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深圳市仙湖植物园</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33"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杉木优良品系繁育及丰产栽培技术推广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连山壮族瑶族自治县森林病虫害防治检疫站</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森林生态效益监测网络体系建设研究技术与推广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东莞市林业科学研究所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杉木优良品系造林示范推广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肇庆市国有清桂林场</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岑软良种油茶高效繁育及栽培技术推广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信宜市林业科学研究所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347"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北岭山森林公园生态景观改造技术推广示范〔2016〕GDTK -14号</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肇庆市国有北岭山林场</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林下仿野生灵芝种植技术推广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肇庆市林业科学研究所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418"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粤东废弃稀土矿区的植被恢复试验</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广东兴宁铁山渡田河省级自然保护区管理处</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紫金红锥良种混交林营造推广与应用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紫金县林业技术推广站</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乳源瑶族自治县石漠化综合治理技术示范与推广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乳源瑶族自治县生态公益林管护中心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高州油茶（白花油茶）大枝干扦插繁殖技术的研究与应用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江门市东湖公园管理所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广东省</w:t>
            </w:r>
          </w:p>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气象局</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9.59</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66"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气象灾害风险评估与转移技术在乡村振兴金融服务中的应用推广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广东省气候中心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一等奖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基于大数据库的新农村雷电安全防御研究应用与推广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广东省气象公共安全技术</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支持中心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河源特色农产品气候品质评价技术集成与应用推广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广东省龙川县气象局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基于为农服务的气象观测系统研发及推广应用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广东省气象探测数据中心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spacing w:val="-6"/>
                <w:kern w:val="0"/>
                <w:sz w:val="18"/>
                <w:szCs w:val="18"/>
              </w:rPr>
              <w:t>天堂镇紫米种植气候分析与防灾增产研究</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广东省新兴县气象局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spacing w:val="-6"/>
                <w:kern w:val="0"/>
                <w:sz w:val="18"/>
                <w:szCs w:val="18"/>
              </w:rPr>
              <w:t>基于GIS的化橘红气象灾害区划与应用研究</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广东省化州市气象局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广东省</w:t>
            </w:r>
          </w:p>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科学院</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3.06</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基于五大规律的甘蔗提质增效栽培技术研发与推广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广东省科学院南繁种业研究所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白僵菌高孢粉防治蔗田螟虫的关键技术研究与示范推广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广东省科学院南繁种业研究所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广东省农业科学院</w:t>
            </w:r>
          </w:p>
        </w:tc>
        <w:tc>
          <w:tcPr>
            <w:tcW w:w="501" w:type="pct"/>
            <w:tcBorders>
              <w:top w:val="nil"/>
              <w:left w:val="nil"/>
              <w:bottom w:val="single" w:color="auto" w:sz="4" w:space="0"/>
              <w:right w:val="single" w:color="auto"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37.89</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42"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集约化猪场重要细菌病绿色精准防控关键技术创新与推广应用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广东省农业科学院动物卫生研究所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一等奖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冬瓜多样化品种及产业化推广应用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广东省农业科学院蔬菜研究所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一等奖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高效安全绿色农药制剂研制与推广应用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广东省农业科学院植物保护</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一等奖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早中晚兼用型优质稻黄华占推广应用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广东省农业科学院水稻研究所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一等奖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广适型优质超级稻合美占的示范与推广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广东省农业科学院水稻研究所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一等奖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广东省牛羊重要疫病综合防控技术的</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广东省农业科学院动物卫生研究所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spacing w:val="-6"/>
                <w:kern w:val="0"/>
                <w:sz w:val="18"/>
                <w:szCs w:val="18"/>
              </w:rPr>
              <w:t>清远鸡保种与创新利用关键技术推广应用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广东省农业科学院动物科学研究所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广东省重要猪病控制及净化技术的</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广东省农业科学院动物卫生研究所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畜禽隐孢子虫病监测预警与防控关键技术的推广与应用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广东省农业科学院动物卫生研究所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spacing w:val="-6"/>
                <w:kern w:val="0"/>
                <w:sz w:val="18"/>
                <w:szCs w:val="18"/>
              </w:rPr>
              <w:t>果蔬刺吸类害虫绿色防控技术集成与应用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广东省农业科学院植物保护研究所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765"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华南特色蔬菜保鲜物流关键技术创新</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与应用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广东省农业科学院蚕业与农产品加工研究所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柑橘主要害虫生物防治技术示范与推广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广东省农业科学院植物保护</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spacing w:val="-6"/>
                <w:kern w:val="0"/>
                <w:sz w:val="18"/>
                <w:szCs w:val="18"/>
              </w:rPr>
              <w:t>广东粉虱类害虫绿色防控技术应用与推广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广东省农业科学院植物保护研究所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岭南乡村水环境治理与景观美化技术应用与推广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广东省农业科学院环境园艺</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765"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耕地土壤污染综合治理与质量提升关键技术及应用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广东省农业科学院农业资源与环境研究所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优质高产加工型花生品种的推广应用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广东省农业科学院作物研究所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广东茶资源健康效应及其高值化利用关键技术研究与应用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广东省农业科学院茶叶研究所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765"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高产、优质、抗枯萎病香蕉新品种‘中蕉4号’的选育及推广应用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广东省农业科学院果树研究所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龟鳖细菌性疫病综合防控技术的推广与应用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广东省农业科学院动物卫生</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765"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茶叶品质精准鉴评关键技术研发与推广应用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广东省农业科学院农业生物基因研究中心</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765"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农村产权流转数字化平台促进农业产业发展的关键技术与应用推广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广东省农业科学院农业经济与信息研究所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1020" w:hRule="atLeast"/>
        </w:trPr>
        <w:tc>
          <w:tcPr>
            <w:tcW w:w="719" w:type="pct"/>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广东省农垦集团公司（省农垦总局）</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甘蔗生产农机与农艺、品种、信息融合技术集成创新及应用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广东广垦糖业集团有限公司</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华南农业</w:t>
            </w:r>
          </w:p>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大学</w:t>
            </w:r>
          </w:p>
        </w:tc>
        <w:tc>
          <w:tcPr>
            <w:tcW w:w="501" w:type="pct"/>
            <w:tcBorders>
              <w:top w:val="nil"/>
              <w:left w:val="nil"/>
              <w:bottom w:val="single" w:color="auto" w:sz="4" w:space="0"/>
              <w:right w:val="single" w:color="auto"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25.18</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农林植物油脂高效转化与高值化利用关键技术推广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华南农业大学</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一等奖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农用无人飞机作业关键技术研发及推广应用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华南农业大学</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一等奖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水稻智能田间植保及施肥装备的研发与示范推广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华南农业大学</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一等奖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畜禽种质资源保护与利用技术示范推广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华南农业大学</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一等奖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重大入侵害虫草地贪夜蛾应急防控技术创新集成与示范推广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华南农业大学</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一等奖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林副产品工业化高值化利用关键技术集成及其推广应用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华南农业大学</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华南地区牛羊饲料资源高效利用与示范推广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华南农业大学</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xml:space="preserve">畜禽产品中重要有害物残留精准快速检测技术应用与推广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华南农业大学</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池塘养殖水生态治理循环利用模式集成示范与推广应用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华南农业大学</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杂交兰新品种和产业化技术示范推广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华南农业大学</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765"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基于多品种水稻及花草植物景观优化配置的生态稻田建设技术及推广应用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华南农业大学</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新兽药丙泊酚注射液在兽医临床中的</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华南农业大学</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仲恺农业</w:t>
            </w:r>
          </w:p>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工程学院</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6.59</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广东省规模化养猪场粪污处理模式示范与推广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仲恺农业工程学院</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基于高效水基化纳米农药的果蔬病虫绿色防控技术及应用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仲恺农业工程学院</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百香果绿色种植关键技术研究与应用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仲恺农业工程学院</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高附加值松香深加工技术创新及推广应用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仲恺农业工程学院</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喷施型多功能水果套袋材料关键技术与应用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仲恺农业工程学院</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广东海洋大学</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7.59</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金钱鱼绿色养殖技术研究与应用推广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广东海洋大学</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一等奖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菠萝皮渣/秸秆优质青贮利用技术及设备示范推广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广东海洋大学</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马氏珠母贝优质品种及配套养殖技术示范与推广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广东海洋大学</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优质高产香型杂交稻广泰优天弘丝苗的推广应用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广东海洋大学</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广州中医药</w:t>
            </w:r>
          </w:p>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大学</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603"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中药材农初产品的精深加工技术</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应用推广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广州中医药大学</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佛山科学技术学院</w:t>
            </w:r>
          </w:p>
        </w:tc>
        <w:tc>
          <w:tcPr>
            <w:tcW w:w="501" w:type="pct"/>
            <w:tcBorders>
              <w:top w:val="nil"/>
              <w:left w:val="nil"/>
              <w:bottom w:val="single" w:color="auto" w:sz="4" w:space="0"/>
              <w:right w:val="single" w:color="auto"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657"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公猪高效繁育关键技术创新与推广应用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佛山科学技术学院</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广东科贸职业学院</w:t>
            </w:r>
          </w:p>
        </w:tc>
        <w:tc>
          <w:tcPr>
            <w:tcW w:w="501" w:type="pct"/>
            <w:tcBorders>
              <w:top w:val="nil"/>
              <w:left w:val="nil"/>
              <w:bottom w:val="single" w:color="auto" w:sz="4" w:space="0"/>
              <w:right w:val="single" w:color="auto"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4</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63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spacing w:val="-6"/>
                <w:kern w:val="0"/>
                <w:sz w:val="18"/>
                <w:szCs w:val="18"/>
              </w:rPr>
              <w:t>肉鸽新品种与绿色健康养殖技术示范推广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广东科贸职业学院</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一等奖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生态型野化茶选育、种植及加工关键技术攻关与推广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广东科贸职业学院</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韩山师范</w:t>
            </w:r>
          </w:p>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学院</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spacing w:val="-6"/>
                <w:kern w:val="0"/>
                <w:sz w:val="18"/>
                <w:szCs w:val="18"/>
              </w:rPr>
              <w:t>番石榴优质高效栽培与保鲜技术示范推广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韩山师范学院</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r>
        <w:tblPrEx>
          <w:tblCellMar>
            <w:top w:w="0" w:type="dxa"/>
            <w:left w:w="108" w:type="dxa"/>
            <w:bottom w:w="0" w:type="dxa"/>
            <w:right w:w="108" w:type="dxa"/>
          </w:tblCellMar>
        </w:tblPrEx>
        <w:trPr>
          <w:trHeight w:val="765" w:hRule="atLeast"/>
        </w:trPr>
        <w:tc>
          <w:tcPr>
            <w:tcW w:w="719" w:type="pct"/>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中国热带农业科学院</w:t>
            </w:r>
          </w:p>
        </w:tc>
        <w:tc>
          <w:tcPr>
            <w:tcW w:w="501" w:type="pct"/>
            <w:tcBorders>
              <w:top w:val="nil"/>
              <w:left w:val="nil"/>
              <w:bottom w:val="single" w:color="auto" w:sz="4" w:space="0"/>
              <w:right w:val="single" w:color="auto"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4.59</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765"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澳洲坚果产地加工技术与装备的研发</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中国热带农业科学院南亚热带作物研究所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甘蔗和剑麻智能高效精准施肥装备技术集成创新与推广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中国热带农业科学院农业机械研究所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雷州山羊舍饲化高效循环养殖关键技术集成与示范推广</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中国热带农业科学院湛江实验站</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1020" w:hRule="atLeast"/>
        </w:trPr>
        <w:tc>
          <w:tcPr>
            <w:tcW w:w="719" w:type="pct"/>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中国水产科学研究院南海水产研究所</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b/>
                <w:bCs/>
                <w:snapToGrid w:val="0"/>
                <w:color w:val="auto"/>
                <w:kern w:val="0"/>
                <w:sz w:val="18"/>
                <w:szCs w:val="18"/>
              </w:rPr>
            </w:pPr>
            <w:r>
              <w:rPr>
                <w:rFonts w:hint="eastAsia" w:ascii="仿宋_GB2312" w:hAnsi="仿宋_GB2312" w:eastAsia="仿宋_GB2312" w:cs="仿宋_GB2312"/>
                <w:b/>
                <w:bCs/>
                <w:snapToGrid w:val="0"/>
                <w:color w:val="auto"/>
                <w:kern w:val="0"/>
                <w:sz w:val="18"/>
                <w:szCs w:val="18"/>
              </w:rPr>
              <w:t>5.53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花鲈优质苗种的筛选及配套生态养殖技术的建立与示范</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中国水产科学研究院南海水产</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一等奖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1.53</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围堰养殖香港牡蛎病害生态防控关键技术及推广应用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中国水产科学研究院南海水产</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二等奖</w:t>
            </w:r>
          </w:p>
        </w:tc>
      </w:tr>
      <w:tr>
        <w:tblPrEx>
          <w:tblCellMar>
            <w:top w:w="0" w:type="dxa"/>
            <w:left w:w="108" w:type="dxa"/>
            <w:bottom w:w="0" w:type="dxa"/>
            <w:right w:w="108" w:type="dxa"/>
          </w:tblCellMar>
        </w:tblPrEx>
        <w:trPr>
          <w:trHeight w:val="51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　</w:t>
            </w:r>
          </w:p>
        </w:tc>
        <w:tc>
          <w:tcPr>
            <w:tcW w:w="501" w:type="pct"/>
            <w:tcBorders>
              <w:top w:val="nil"/>
              <w:left w:val="nil"/>
              <w:bottom w:val="single" w:color="auto" w:sz="4" w:space="0"/>
              <w:right w:val="single" w:color="auto" w:sz="4" w:space="0"/>
            </w:tcBorders>
            <w:shd w:val="clear" w:color="auto" w:fill="auto"/>
            <w:noWrap/>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787"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基于微生物工程无抗生物饲料在对虾养殖中推广与应用</w:t>
            </w:r>
          </w:p>
        </w:tc>
        <w:tc>
          <w:tcPr>
            <w:tcW w:w="146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中国水产科学研究院南海水产</w:t>
            </w:r>
          </w:p>
          <w:p>
            <w:pPr>
              <w:widowControl w:val="0"/>
              <w:adjustRightInd w:val="0"/>
              <w:snapToGrid w:val="0"/>
              <w:spacing w:line="240" w:lineRule="auto"/>
              <w:contextualSpacing/>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研究所</w:t>
            </w:r>
          </w:p>
        </w:tc>
        <w:tc>
          <w:tcPr>
            <w:tcW w:w="525" w:type="pct"/>
            <w:tcBorders>
              <w:top w:val="nil"/>
              <w:left w:val="nil"/>
              <w:bottom w:val="single" w:color="000000" w:sz="4" w:space="0"/>
              <w:right w:val="single" w:color="000000" w:sz="4" w:space="0"/>
            </w:tcBorders>
            <w:shd w:val="clear" w:color="auto" w:fill="auto"/>
            <w:vAlign w:val="center"/>
          </w:tcPr>
          <w:p>
            <w:pPr>
              <w:widowControl w:val="0"/>
              <w:adjustRightInd w:val="0"/>
              <w:snapToGrid w:val="0"/>
              <w:spacing w:line="240" w:lineRule="auto"/>
              <w:contextualSpacing/>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三等奖</w:t>
            </w:r>
          </w:p>
        </w:tc>
      </w:tr>
    </w:tbl>
    <w:p>
      <w:pPr>
        <w:spacing w:line="260" w:lineRule="exact"/>
        <w:contextualSpacing/>
        <w:rPr>
          <w:rFonts w:hint="eastAsia" w:ascii="仿宋_GB2312" w:hAnsi="仿宋_GB2312" w:eastAsia="仿宋_GB2312" w:cs="仿宋_GB2312"/>
          <w:snapToGrid w:val="0"/>
          <w:color w:val="auto"/>
          <w:kern w:val="0"/>
        </w:rPr>
      </w:pPr>
    </w:p>
    <w:p>
      <w:pPr>
        <w:adjustRightInd w:val="0"/>
        <w:snapToGrid w:val="0"/>
        <w:spacing w:line="590" w:lineRule="exact"/>
        <w:rPr>
          <w:rFonts w:hint="eastAsia" w:ascii="仿宋_GB2312" w:hAnsi="仿宋_GB2312" w:eastAsia="仿宋_GB2312" w:cs="仿宋_GB2312"/>
          <w:sz w:val="32"/>
          <w:szCs w:val="32"/>
        </w:rPr>
      </w:pPr>
    </w:p>
    <w:p/>
    <w:sectPr>
      <w:footerReference r:id="rId3" w:type="default"/>
      <w:pgSz w:w="11906" w:h="16838"/>
      <w:pgMar w:top="1871" w:right="1531" w:bottom="1871" w:left="1531" w:header="851" w:footer="1417" w:gutter="0"/>
      <w:pgNumType w:fmt="decimal" w:start="3"/>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7698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qFormat/>
    <w:uiPriority w:val="9"/>
    <w:pPr>
      <w:keepNext/>
      <w:keepLines/>
      <w:spacing w:line="413" w:lineRule="auto"/>
      <w:outlineLvl w:val="2"/>
    </w:pPr>
    <w:rPr>
      <w:rFonts w:ascii="Times New Roman" w:hAnsi="Times New Roman" w:cs="Times New Roma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wuyin</dc:creator>
  <cp:lastModifiedBy>One</cp:lastModifiedBy>
  <dcterms:modified xsi:type="dcterms:W3CDTF">2023-01-11T08:43:47Z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82DDB8D5C5E54730919DE2C2BC3BE71E</vt:lpwstr>
  </property>
</Properties>
</file>