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jc w:val="both"/>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附件1</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p>
    <w:p>
      <w:pPr>
        <w:adjustRightInd w:val="0"/>
        <w:snapToGrid w:val="0"/>
        <w:spacing w:beforeLines="0" w:afterLines="0" w:line="590" w:lineRule="exact"/>
        <w:ind w:left="0" w:firstLine="0" w:firstLineChars="0"/>
        <w:jc w:val="center"/>
        <w:rPr>
          <w:rFonts w:hint="eastAsia" w:ascii="方正小标宋简体" w:hAnsi="方正小标宋简体" w:eastAsia="方正小标宋简体" w:cs="方正小标宋简体"/>
          <w:kern w:val="0"/>
          <w:sz w:val="44"/>
          <w:szCs w:val="44"/>
          <w:highlight w:val="none"/>
          <w:lang w:val="en-US" w:eastAsia="zh-CN"/>
        </w:rPr>
      </w:pPr>
      <w:r>
        <w:rPr>
          <w:rFonts w:hint="eastAsia" w:ascii="方正小标宋简体" w:hAnsi="方正小标宋简体" w:eastAsia="方正小标宋简体" w:cs="方正小标宋简体"/>
          <w:kern w:val="0"/>
          <w:sz w:val="44"/>
          <w:szCs w:val="44"/>
          <w:highlight w:val="none"/>
          <w:lang w:val="en-US" w:eastAsia="zh-CN"/>
        </w:rPr>
        <w:t>广东省省级农业农村系统能力提升及新型</w:t>
      </w:r>
    </w:p>
    <w:p>
      <w:pPr>
        <w:adjustRightInd w:val="0"/>
        <w:snapToGrid w:val="0"/>
        <w:spacing w:beforeLines="0" w:afterLines="0" w:line="590" w:lineRule="exact"/>
        <w:ind w:left="0" w:firstLine="0" w:firstLineChars="0"/>
        <w:jc w:val="center"/>
        <w:rPr>
          <w:rFonts w:hint="eastAsia" w:ascii="方正小标宋简体" w:hAnsi="方正小标宋简体" w:eastAsia="方正小标宋简体" w:cs="方正小标宋简体"/>
          <w:kern w:val="0"/>
          <w:sz w:val="44"/>
          <w:szCs w:val="44"/>
          <w:highlight w:val="none"/>
          <w:lang w:val="en-US" w:eastAsia="zh-CN"/>
        </w:rPr>
      </w:pPr>
      <w:r>
        <w:rPr>
          <w:rFonts w:hint="eastAsia" w:ascii="方正小标宋简体" w:hAnsi="方正小标宋简体" w:eastAsia="方正小标宋简体" w:cs="方正小标宋简体"/>
          <w:kern w:val="0"/>
          <w:sz w:val="44"/>
          <w:szCs w:val="44"/>
          <w:highlight w:val="none"/>
          <w:lang w:val="en-US" w:eastAsia="zh-CN"/>
        </w:rPr>
        <w:t>经营主体培训项目入库申报指南</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p>
    <w:p>
      <w:pPr>
        <w:adjustRightInd w:val="0"/>
        <w:snapToGrid w:val="0"/>
        <w:spacing w:beforeLines="0" w:afterLines="0" w:line="590" w:lineRule="exact"/>
        <w:ind w:firstLine="640" w:firstLineChars="200"/>
        <w:jc w:val="both"/>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一、总体目标</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开展农业农村系统干部培训及新型农业经营主体负责人培育工作，采取线下线上方式，对农业农村系统干部及新型经营主体负责人开展分类、分层、分批轮训。培训项目实施时间1年，共培训农业农村系统干部100人以上，新型经营主体负责人200人以上。</w:t>
      </w:r>
    </w:p>
    <w:p>
      <w:pPr>
        <w:adjustRightInd w:val="0"/>
        <w:snapToGrid w:val="0"/>
        <w:spacing w:beforeLines="0" w:afterLines="0" w:line="590" w:lineRule="exact"/>
        <w:ind w:firstLine="640" w:firstLineChars="200"/>
        <w:jc w:val="both"/>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二、项目内容</w:t>
      </w:r>
    </w:p>
    <w:p>
      <w:pPr>
        <w:adjustRightInd w:val="0"/>
        <w:snapToGrid w:val="0"/>
        <w:spacing w:beforeLines="0" w:afterLines="0" w:line="590" w:lineRule="exact"/>
        <w:ind w:firstLine="640" w:firstLineChars="200"/>
        <w:jc w:val="both"/>
        <w:rPr>
          <w:rFonts w:hint="eastAsia" w:ascii="楷体_GB2312" w:hAnsi="楷体_GB2312" w:eastAsia="楷体_GB2312" w:cs="楷体_GB2312"/>
          <w:b w:val="0"/>
          <w:bCs w:val="0"/>
          <w:kern w:val="0"/>
          <w:sz w:val="32"/>
          <w:szCs w:val="32"/>
          <w:highlight w:val="none"/>
          <w:lang w:val="en-US" w:eastAsia="zh-CN"/>
        </w:rPr>
      </w:pPr>
      <w:r>
        <w:rPr>
          <w:rFonts w:hint="eastAsia" w:ascii="楷体_GB2312" w:hAnsi="楷体_GB2312" w:eastAsia="楷体_GB2312" w:cs="楷体_GB2312"/>
          <w:b w:val="0"/>
          <w:bCs w:val="0"/>
          <w:kern w:val="0"/>
          <w:sz w:val="32"/>
          <w:szCs w:val="32"/>
          <w:highlight w:val="none"/>
          <w:lang w:val="en-US" w:eastAsia="zh-CN"/>
        </w:rPr>
        <w:t>（一）建设内容</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yellow"/>
          <w:lang w:val="en-US" w:eastAsia="zh-CN"/>
        </w:rPr>
      </w:pPr>
      <w:r>
        <w:rPr>
          <w:rFonts w:hint="eastAsia" w:ascii="仿宋_GB2312" w:hAnsi="仿宋_GB2312" w:eastAsia="仿宋_GB2312" w:cs="仿宋_GB2312"/>
          <w:kern w:val="0"/>
          <w:sz w:val="32"/>
          <w:szCs w:val="32"/>
          <w:highlight w:val="none"/>
          <w:lang w:val="en-US" w:eastAsia="zh-CN"/>
        </w:rPr>
        <w:t>结合我省实际，培育机构应构建由知名专家、创业导师、政策讲师和实践指导师等组建的师资队伍，对培育对象采取累计一个月集中授课、一学期线上学习、一系列考察互访、一名导师帮扶指导的“4个一”培育模式，对农业农村系统干部或新型农业经营主体负责人开展的定制化、体验式、孵化型培训（培育），其中农业农村系统干部学习内容应包含不仅限于习近平新时代农业发展思想、当前农业农村经济形势分析、国内外农业发展趋势与分析、粤港澳大湾区发展、美丽乡村建设、农业发展、农村治理、粮食安全等方面内容；新型农业经营主体负责人学习内容主要</w:t>
      </w:r>
      <w:r>
        <w:rPr>
          <w:rFonts w:hint="eastAsia" w:ascii="仿宋_GB2312" w:hAnsi="仿宋_GB2312" w:eastAsia="仿宋_GB2312" w:cs="仿宋_GB2312"/>
          <w:snapToGrid w:val="0"/>
          <w:spacing w:val="0"/>
          <w:kern w:val="0"/>
          <w:szCs w:val="32"/>
        </w:rPr>
        <w:t>根据广东农业主导和优势特色产业，结合培育机构本身师资、教学资源、产业合作等优势，围绕政治理论、政策法规、</w:t>
      </w:r>
      <w:r>
        <w:rPr>
          <w:rFonts w:hint="eastAsia" w:ascii="仿宋_GB2312" w:hAnsi="仿宋_GB2312" w:eastAsia="仿宋_GB2312" w:cs="仿宋_GB2312"/>
          <w:snapToGrid w:val="0"/>
          <w:spacing w:val="0"/>
          <w:kern w:val="0"/>
          <w:szCs w:val="32"/>
          <w:lang w:eastAsia="zh-CN"/>
        </w:rPr>
        <w:t>经营管理、财务规范、金融保险、</w:t>
      </w:r>
      <w:r>
        <w:rPr>
          <w:rFonts w:hint="eastAsia" w:ascii="仿宋_GB2312" w:hAnsi="仿宋_GB2312" w:eastAsia="仿宋_GB2312" w:cs="仿宋_GB2312"/>
          <w:snapToGrid w:val="0"/>
          <w:spacing w:val="0"/>
          <w:kern w:val="0"/>
          <w:szCs w:val="32"/>
        </w:rPr>
        <w:t>专</w:t>
      </w:r>
      <w:r>
        <w:rPr>
          <w:rFonts w:hint="eastAsia" w:ascii="仿宋_GB2312" w:hAnsi="仿宋_GB2312" w:eastAsia="仿宋_GB2312" w:cs="仿宋_GB2312"/>
          <w:snapToGrid w:val="0"/>
          <w:color w:val="auto"/>
          <w:spacing w:val="0"/>
          <w:kern w:val="0"/>
          <w:szCs w:val="32"/>
        </w:rPr>
        <w:t>业技能、调研实践等</w:t>
      </w:r>
      <w:r>
        <w:rPr>
          <w:rFonts w:hint="eastAsia" w:ascii="仿宋_GB2312" w:hAnsi="仿宋_GB2312" w:eastAsia="仿宋_GB2312" w:cs="仿宋_GB2312"/>
          <w:snapToGrid w:val="0"/>
          <w:color w:val="auto"/>
          <w:spacing w:val="0"/>
          <w:kern w:val="0"/>
          <w:szCs w:val="32"/>
          <w:lang w:eastAsia="zh-CN"/>
        </w:rPr>
        <w:t>几</w:t>
      </w:r>
      <w:r>
        <w:rPr>
          <w:rFonts w:hint="eastAsia" w:ascii="仿宋_GB2312" w:hAnsi="仿宋_GB2312" w:eastAsia="仿宋_GB2312" w:cs="仿宋_GB2312"/>
          <w:snapToGrid w:val="0"/>
          <w:color w:val="auto"/>
          <w:spacing w:val="0"/>
          <w:kern w:val="0"/>
          <w:szCs w:val="32"/>
        </w:rPr>
        <w:t>大课程模块</w:t>
      </w:r>
      <w:r>
        <w:rPr>
          <w:rFonts w:hint="eastAsia" w:ascii="仿宋_GB2312" w:hAnsi="仿宋_GB2312" w:eastAsia="仿宋_GB2312" w:cs="仿宋_GB2312"/>
          <w:snapToGrid w:val="0"/>
          <w:color w:val="auto"/>
          <w:spacing w:val="0"/>
          <w:kern w:val="0"/>
          <w:szCs w:val="32"/>
          <w:lang w:eastAsia="zh-CN"/>
        </w:rPr>
        <w:t>进行课程设置，</w:t>
      </w:r>
      <w:r>
        <w:rPr>
          <w:rFonts w:hint="eastAsia" w:ascii="仿宋_GB2312" w:hAnsi="仿宋_GB2312" w:eastAsia="仿宋_GB2312" w:cs="仿宋_GB2312"/>
          <w:kern w:val="0"/>
          <w:sz w:val="32"/>
          <w:szCs w:val="32"/>
          <w:highlight w:val="none"/>
          <w:lang w:val="en-US" w:eastAsia="zh-CN"/>
        </w:rPr>
        <w:t>包含但不限于乡村振兴、粤港澳大湾区发展、企业经营管理、农业生产技术等方面内容。项目实施周期1年，每个培育机构应累计培育人数100人（含以上）。</w:t>
      </w:r>
    </w:p>
    <w:p>
      <w:pPr>
        <w:adjustRightInd w:val="0"/>
        <w:snapToGrid w:val="0"/>
        <w:spacing w:beforeLines="0" w:afterLines="0" w:line="590" w:lineRule="exact"/>
        <w:ind w:firstLine="640" w:firstLineChars="200"/>
        <w:jc w:val="both"/>
        <w:rPr>
          <w:rFonts w:hint="eastAsia" w:ascii="楷体_GB2312" w:hAnsi="楷体_GB2312" w:eastAsia="楷体_GB2312" w:cs="楷体_GB2312"/>
          <w:b w:val="0"/>
          <w:bCs w:val="0"/>
          <w:kern w:val="0"/>
          <w:sz w:val="32"/>
          <w:szCs w:val="32"/>
          <w:highlight w:val="none"/>
          <w:lang w:val="en-US" w:eastAsia="zh-CN"/>
        </w:rPr>
      </w:pPr>
      <w:r>
        <w:rPr>
          <w:rFonts w:hint="eastAsia" w:ascii="楷体_GB2312" w:hAnsi="楷体_GB2312" w:eastAsia="楷体_GB2312" w:cs="楷体_GB2312"/>
          <w:b w:val="0"/>
          <w:bCs w:val="0"/>
          <w:kern w:val="0"/>
          <w:sz w:val="32"/>
          <w:szCs w:val="32"/>
          <w:highlight w:val="none"/>
          <w:lang w:val="en-US" w:eastAsia="zh-CN"/>
        </w:rPr>
        <w:t>（二）绩效目标</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1.每个培育机构累计培育人数不低于100人（实际培训人数根据实际培训计划情况动态调整）；</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2.农业农村系统干部集中授课时间及线上学习时间（由学员自行安排时间完成）根据省农业农村系统干部培训计划确定；</w:t>
      </w:r>
    </w:p>
    <w:p>
      <w:pPr>
        <w:numPr>
          <w:ilvl w:val="0"/>
          <w:numId w:val="0"/>
        </w:num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3.新型经营主体负责人集中授课不少于120学时（可一次性集中完成，也可结合农时季节分两段完成），线上学习不少于60学时（由学员自行安排时间完成）；</w:t>
      </w:r>
    </w:p>
    <w:p>
      <w:pPr>
        <w:numPr>
          <w:ilvl w:val="0"/>
          <w:numId w:val="0"/>
        </w:num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4.采取信息化手段，对培育对象信息进行登记管理；</w:t>
      </w:r>
    </w:p>
    <w:p>
      <w:pPr>
        <w:numPr>
          <w:ilvl w:val="0"/>
          <w:numId w:val="0"/>
        </w:num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5.农业农村系统干部政治、业务及专项能力明显增强；</w:t>
      </w:r>
    </w:p>
    <w:p>
      <w:pPr>
        <w:numPr>
          <w:ilvl w:val="0"/>
          <w:numId w:val="0"/>
        </w:num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6.新型农业经营主体负责人经营管理、财务规范、联农带农、示范引领作用明显增强；</w:t>
      </w:r>
    </w:p>
    <w:p>
      <w:pPr>
        <w:numPr>
          <w:ilvl w:val="0"/>
          <w:numId w:val="0"/>
        </w:num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7.培育对象评价率：≥95%，对培育基地和师资的满意度:≥95%；</w:t>
      </w:r>
    </w:p>
    <w:p>
      <w:pPr>
        <w:numPr>
          <w:ilvl w:val="0"/>
          <w:numId w:val="0"/>
        </w:num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8.资金使用无重大违规违纪问题。</w:t>
      </w:r>
    </w:p>
    <w:p>
      <w:pPr>
        <w:adjustRightInd w:val="0"/>
        <w:snapToGrid w:val="0"/>
        <w:spacing w:beforeLines="0" w:afterLines="0" w:line="590" w:lineRule="exact"/>
        <w:ind w:firstLine="640" w:firstLineChars="200"/>
        <w:jc w:val="both"/>
        <w:rPr>
          <w:rFonts w:hint="eastAsia" w:ascii="楷体_GB2312" w:hAnsi="楷体_GB2312" w:eastAsia="楷体_GB2312" w:cs="楷体_GB2312"/>
          <w:b w:val="0"/>
          <w:bCs w:val="0"/>
          <w:kern w:val="0"/>
          <w:sz w:val="32"/>
          <w:szCs w:val="32"/>
          <w:highlight w:val="none"/>
          <w:lang w:val="en-US" w:eastAsia="zh-CN"/>
        </w:rPr>
      </w:pPr>
      <w:r>
        <w:rPr>
          <w:rFonts w:hint="eastAsia" w:ascii="楷体_GB2312" w:hAnsi="楷体_GB2312" w:eastAsia="楷体_GB2312" w:cs="楷体_GB2312"/>
          <w:b w:val="0"/>
          <w:bCs w:val="0"/>
          <w:kern w:val="0"/>
          <w:sz w:val="32"/>
          <w:szCs w:val="32"/>
          <w:highlight w:val="none"/>
          <w:lang w:val="en-US" w:eastAsia="zh-CN"/>
        </w:rPr>
        <w:t>（三）培育数量和项目资金额度</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每名培训对象培育经费参照</w:t>
      </w:r>
      <w:r>
        <w:rPr>
          <w:rFonts w:hint="eastAsia" w:ascii="仿宋_GB2312" w:hAnsi="仿宋_GB2312" w:eastAsia="仿宋_GB2312" w:cs="仿宋_GB2312"/>
          <w:kern w:val="0"/>
          <w:sz w:val="32"/>
          <w:szCs w:val="32"/>
          <w:highlight w:val="none"/>
          <w:u w:val="none"/>
          <w:lang w:val="en-US" w:eastAsia="zh-CN"/>
        </w:rPr>
        <w:t>农业农村部“头雁”培训项目标准</w:t>
      </w:r>
      <w:r>
        <w:rPr>
          <w:rFonts w:hint="eastAsia" w:ascii="仿宋_GB2312" w:hAnsi="仿宋_GB2312" w:eastAsia="仿宋_GB2312" w:cs="仿宋_GB2312"/>
          <w:kern w:val="0"/>
          <w:sz w:val="32"/>
          <w:szCs w:val="32"/>
          <w:highlight w:val="none"/>
          <w:lang w:val="en-US" w:eastAsia="zh-CN"/>
        </w:rPr>
        <w:t>，原则上每个机构申报培训任务人数为100人以上（实际培训人数根据实际情况动态调整）。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rPr>
          <w:rFonts w:hint="default" w:ascii="仿宋_GB2312" w:hAnsi="仿宋_GB2312" w:eastAsia="仿宋_GB2312" w:cs="仿宋_GB2312"/>
          <w:kern w:val="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left"/>
        <w:rPr>
          <w:rFonts w:hint="eastAsia" w:ascii="仿宋_GB2312" w:hAnsi="仿宋_GB2312" w:eastAsia="仿宋_GB2312" w:cs="仿宋_GB2312"/>
          <w:kern w:val="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left"/>
        <w:rPr>
          <w:rFonts w:hint="eastAsia" w:ascii="仿宋_GB2312" w:hAnsi="仿宋_GB2312" w:eastAsia="仿宋_GB2312" w:cs="仿宋_GB2312"/>
          <w:kern w:val="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left"/>
        <w:rPr>
          <w:rFonts w:hint="eastAsia" w:ascii="仿宋_GB2312" w:hAnsi="仿宋_GB2312" w:eastAsia="仿宋_GB2312" w:cs="仿宋_GB2312"/>
          <w:kern w:val="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left"/>
        <w:rPr>
          <w:rFonts w:hint="eastAsia" w:ascii="仿宋_GB2312" w:hAnsi="仿宋_GB2312" w:eastAsia="仿宋_GB2312" w:cs="仿宋_GB2312"/>
          <w:kern w:val="0"/>
          <w:sz w:val="32"/>
          <w:szCs w:val="32"/>
          <w:highlight w:val="yellow"/>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F46C2"/>
    <w:rsid w:val="53DF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2022-10-10T08:10:00Z</dcterms:created>
  <dc:creator>潘季英</dc:creator>
  <cp:lastModifiedBy>潘季英</cp:lastModifiedBy>
  <dcterms:modified xsi:type="dcterms:W3CDTF">2022-10-10T08:10:36Z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