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left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年度省级示范性就业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帮扶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基地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候选企业名单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tbl>
      <w:tblPr>
        <w:tblStyle w:val="3"/>
        <w:tblW w:w="84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500"/>
        <w:gridCol w:w="59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市别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珠三角地区15家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广州胜美达电机有限公司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鹏鼎控股（深圳）股份有限公司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深圳市大疆百旺科技有限公司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银图电器（深圳）有限公司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珠海冠宇电池股份有限公司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佛山市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广东美的厨房电器制造有限公司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佛山市高明安华陶瓷洁具有限公司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TCL科技集团股份有限公司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惠州光弘科技股份有限公司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东莞市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领益智造科技（东莞）有限公司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东莞富强电子有限公司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广东依顿电子科技有限公司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江门市豪爵摩托车配件有限公司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广东飞南资源利用有限公司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市别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  <w:t>东西北地区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10家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汕头比亚迪电子有限公司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乐昌市中航城乡环卫有限公司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翁源县万成塑胶制品有限公司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西可通信技术设备（河源）有限公司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河源联弘玩具礼品有限公司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广东宝汇环保科技有限公司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兴宁市新昌鞋业有限公司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广东牛牛科技有限公司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清远万国鞋业有限公司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清远市广硕鞋业有限公司</w:t>
            </w:r>
          </w:p>
        </w:tc>
      </w:tr>
    </w:tbl>
    <w:p>
      <w:pPr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left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35302"/>
    <w:rsid w:val="6E53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2022-09-08T07:13:00Z</dcterms:created>
  <dc:creator>潘季英</dc:creator>
  <cp:lastModifiedBy>潘季英</cp:lastModifiedBy>
  <dcterms:modified xsi:type="dcterms:W3CDTF">2022-09-08T07:13:36Z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</Properties>
</file>