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p>
    <w:p>
      <w:pPr>
        <w:ind w:left="0" w:leftChars="0" w:firstLine="0" w:firstLineChars="0"/>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rPr>
        <w:t>2022年第二批中央财政衔接推进乡村振兴补助资金分配计划表</w:t>
      </w:r>
    </w:p>
    <w:bookmarkEnd w:id="0"/>
    <w:p>
      <w:pPr>
        <w:ind w:left="0" w:leftChars="0" w:firstLine="0" w:firstLineChars="0"/>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lang w:eastAsia="zh-CN"/>
        </w:rPr>
        <w:t>单位：万元</w:t>
      </w:r>
    </w:p>
    <w:tbl>
      <w:tblPr>
        <w:tblStyle w:val="5"/>
        <w:tblW w:w="13908" w:type="dxa"/>
        <w:jc w:val="center"/>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9"/>
        <w:gridCol w:w="856"/>
        <w:gridCol w:w="1916"/>
        <w:gridCol w:w="4945"/>
        <w:gridCol w:w="4143"/>
        <w:gridCol w:w="788"/>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4" w:hRule="atLeast"/>
          <w:tblHeader/>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黑体" w:hAnsi="黑体" w:eastAsia="黑体" w:cs="黑体"/>
                <w:b w:val="0"/>
                <w:bCs/>
                <w:i w:val="0"/>
                <w:color w:val="auto"/>
                <w:kern w:val="0"/>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序号</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黑体" w:hAnsi="黑体" w:eastAsia="黑体" w:cs="黑体"/>
                <w:b w:val="0"/>
                <w:bCs/>
                <w:i w:val="0"/>
                <w:color w:val="auto"/>
                <w:kern w:val="0"/>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市别</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黑体" w:hAnsi="黑体" w:eastAsia="黑体" w:cs="黑体"/>
                <w:b w:val="0"/>
                <w:bCs/>
                <w:i w:val="0"/>
                <w:color w:val="auto"/>
                <w:kern w:val="0"/>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项目承担单位</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黑体" w:hAnsi="黑体" w:eastAsia="黑体" w:cs="黑体"/>
                <w:b w:val="0"/>
                <w:bCs/>
                <w:i w:val="0"/>
                <w:color w:val="auto"/>
                <w:kern w:val="0"/>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建设内容</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黑体" w:hAnsi="黑体" w:eastAsia="黑体" w:cs="黑体"/>
                <w:b w:val="0"/>
                <w:bCs/>
                <w:i w:val="0"/>
                <w:color w:val="auto"/>
                <w:kern w:val="0"/>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绩效目标</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黑体" w:hAnsi="黑体" w:eastAsia="黑体" w:cs="黑体"/>
                <w:b w:val="0"/>
                <w:bCs/>
                <w:i w:val="0"/>
                <w:color w:val="auto"/>
                <w:kern w:val="0"/>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资金</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黑体" w:hAnsi="黑体" w:eastAsia="黑体" w:cs="黑体"/>
                <w:b w:val="0"/>
                <w:bCs/>
                <w:i w:val="0"/>
                <w:color w:val="auto"/>
                <w:kern w:val="0"/>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3" w:hRule="atLeast"/>
          <w:jc w:val="center"/>
        </w:trPr>
        <w:tc>
          <w:tcPr>
            <w:tcW w:w="34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合计</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6125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70" w:hRule="atLeast"/>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广州市</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广州市协作办公室</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用于奖励吸纳外省脱贫人口稳岗就业的在粤企业</w:t>
            </w:r>
            <w:r>
              <w:rPr>
                <w:rFonts w:hint="eastAsia" w:ascii="仿宋_GB2312" w:hAnsi="仿宋_GB2312" w:eastAsia="仿宋_GB2312" w:cs="仿宋_GB2312"/>
                <w:b w:val="0"/>
                <w:bCs/>
                <w:color w:val="auto"/>
                <w:kern w:val="0"/>
                <w:sz w:val="21"/>
                <w:szCs w:val="21"/>
                <w:highlight w:val="none"/>
                <w:lang w:val="en-US" w:eastAsia="zh-CN" w:bidi="ar"/>
              </w:rPr>
              <w:t>、农民专业合作社和社会组织</w:t>
            </w:r>
            <w:r>
              <w:rPr>
                <w:rFonts w:hint="eastAsia" w:ascii="仿宋_GB2312" w:hAnsi="仿宋_GB2312" w:eastAsia="仿宋_GB2312" w:cs="仿宋_GB2312"/>
                <w:b w:val="0"/>
                <w:bCs/>
                <w:i w:val="0"/>
                <w:color w:val="auto"/>
                <w:kern w:val="0"/>
                <w:sz w:val="21"/>
                <w:szCs w:val="21"/>
                <w:highlight w:val="none"/>
                <w:u w:val="none"/>
                <w:lang w:val="en-US" w:eastAsia="zh-CN" w:bidi="ar"/>
              </w:rPr>
              <w:t>，及外省脱贫人口来粤务工就业</w:t>
            </w:r>
            <w:r>
              <w:rPr>
                <w:rFonts w:hint="eastAsia" w:ascii="仿宋_GB2312" w:hAnsi="仿宋_GB2312" w:eastAsia="仿宋_GB2312" w:cs="仿宋_GB2312"/>
                <w:b w:val="0"/>
                <w:bCs/>
                <w:color w:val="auto"/>
                <w:kern w:val="0"/>
                <w:sz w:val="21"/>
                <w:szCs w:val="21"/>
                <w:highlight w:val="none"/>
                <w:lang w:val="en-US" w:eastAsia="zh-CN" w:bidi="ar"/>
              </w:rPr>
              <w:t>补贴、岗位补贴、</w:t>
            </w:r>
            <w:r>
              <w:rPr>
                <w:rFonts w:hint="eastAsia" w:ascii="仿宋_GB2312" w:hAnsi="仿宋_GB2312" w:eastAsia="仿宋_GB2312" w:cs="仿宋_GB2312"/>
                <w:b w:val="0"/>
                <w:bCs/>
                <w:i w:val="0"/>
                <w:color w:val="auto"/>
                <w:kern w:val="0"/>
                <w:sz w:val="21"/>
                <w:szCs w:val="21"/>
                <w:highlight w:val="none"/>
                <w:u w:val="none"/>
                <w:lang w:val="en-US" w:eastAsia="zh-CN" w:bidi="ar"/>
              </w:rPr>
              <w:t>一次性交通补助、稳岗转岗拓岗培训、特殊困难生活补助等。</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提高在粤企业吸纳外省脱贫人口稳岗就业的积极性和外省脱贫人口来粤务工就业积极性。</w:t>
            </w:r>
            <w:r>
              <w:rPr>
                <w:rFonts w:hint="eastAsia" w:ascii="仿宋_GB2312" w:hAnsi="仿宋_GB2312" w:eastAsia="仿宋_GB2312" w:cs="仿宋_GB2312"/>
                <w:bCs/>
                <w:color w:val="auto"/>
                <w:kern w:val="0"/>
                <w:sz w:val="21"/>
                <w:szCs w:val="21"/>
                <w:highlight w:val="none"/>
                <w:lang w:bidi="ar"/>
              </w:rPr>
              <w:t>吸纳外省脱贫人口数不少于2990人</w:t>
            </w:r>
            <w:r>
              <w:rPr>
                <w:rFonts w:hint="eastAsia" w:ascii="仿宋_GB2312" w:hAnsi="仿宋_GB2312" w:eastAsia="仿宋_GB2312" w:cs="仿宋_GB2312"/>
                <w:bCs/>
                <w:color w:val="auto"/>
                <w:kern w:val="0"/>
                <w:sz w:val="21"/>
                <w:szCs w:val="21"/>
                <w:highlight w:val="none"/>
                <w:lang w:eastAsia="zh-CN" w:bidi="ar"/>
              </w:rPr>
              <w:t>。</w:t>
            </w:r>
            <w:r>
              <w:rPr>
                <w:rFonts w:hint="eastAsia" w:ascii="仿宋_GB2312" w:hAnsi="仿宋_GB2312" w:eastAsia="仿宋_GB2312" w:cs="仿宋_GB2312"/>
                <w:b w:val="0"/>
                <w:bCs/>
                <w:color w:val="auto"/>
                <w:kern w:val="0"/>
                <w:sz w:val="21"/>
                <w:szCs w:val="21"/>
                <w:highlight w:val="none"/>
                <w:lang w:val="en-US" w:eastAsia="zh-CN" w:bidi="ar"/>
              </w:rPr>
              <w:t>2022年10月底前完成支出。</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460" w:lineRule="exact"/>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1495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16" w:hRule="atLeast"/>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深圳市</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深圳市乡村振兴和协作交流局</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用于奖励吸纳外省脱贫人口稳岗就业的在粤企业</w:t>
            </w:r>
            <w:r>
              <w:rPr>
                <w:rFonts w:hint="eastAsia" w:ascii="仿宋_GB2312" w:hAnsi="仿宋_GB2312" w:eastAsia="仿宋_GB2312" w:cs="仿宋_GB2312"/>
                <w:b w:val="0"/>
                <w:bCs/>
                <w:color w:val="auto"/>
                <w:kern w:val="0"/>
                <w:sz w:val="21"/>
                <w:szCs w:val="21"/>
                <w:highlight w:val="none"/>
                <w:lang w:val="en-US" w:eastAsia="zh-CN" w:bidi="ar"/>
              </w:rPr>
              <w:t>、农民专业合作社和社会组织</w:t>
            </w:r>
            <w:r>
              <w:rPr>
                <w:rFonts w:hint="eastAsia" w:ascii="仿宋_GB2312" w:hAnsi="仿宋_GB2312" w:eastAsia="仿宋_GB2312" w:cs="仿宋_GB2312"/>
                <w:b w:val="0"/>
                <w:bCs/>
                <w:i w:val="0"/>
                <w:color w:val="auto"/>
                <w:kern w:val="0"/>
                <w:sz w:val="21"/>
                <w:szCs w:val="21"/>
                <w:highlight w:val="none"/>
                <w:u w:val="none"/>
                <w:lang w:val="en-US" w:eastAsia="zh-CN" w:bidi="ar"/>
              </w:rPr>
              <w:t>，及外省脱贫人口来粤务工就业</w:t>
            </w:r>
            <w:r>
              <w:rPr>
                <w:rFonts w:hint="eastAsia" w:ascii="仿宋_GB2312" w:hAnsi="仿宋_GB2312" w:eastAsia="仿宋_GB2312" w:cs="仿宋_GB2312"/>
                <w:b w:val="0"/>
                <w:bCs/>
                <w:color w:val="auto"/>
                <w:kern w:val="0"/>
                <w:sz w:val="21"/>
                <w:szCs w:val="21"/>
                <w:highlight w:val="none"/>
                <w:lang w:val="en-US" w:eastAsia="zh-CN" w:bidi="ar"/>
              </w:rPr>
              <w:t>补贴、岗位补贴、</w:t>
            </w:r>
            <w:r>
              <w:rPr>
                <w:rFonts w:hint="eastAsia" w:ascii="仿宋_GB2312" w:hAnsi="仿宋_GB2312" w:eastAsia="仿宋_GB2312" w:cs="仿宋_GB2312"/>
                <w:b w:val="0"/>
                <w:bCs/>
                <w:i w:val="0"/>
                <w:color w:val="auto"/>
                <w:kern w:val="0"/>
                <w:sz w:val="21"/>
                <w:szCs w:val="21"/>
                <w:highlight w:val="none"/>
                <w:u w:val="none"/>
                <w:lang w:val="en-US" w:eastAsia="zh-CN" w:bidi="ar"/>
              </w:rPr>
              <w:t>一次性交通补助、稳岗转岗拓岗培训、特殊困难生活补助等。</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提高在粤企业吸纳外省脱贫人口稳岗就业的积极性和外省脱贫人口来粤务工就业积极性。</w:t>
            </w:r>
            <w:r>
              <w:rPr>
                <w:rFonts w:hint="eastAsia" w:ascii="仿宋_GB2312" w:hAnsi="仿宋_GB2312" w:eastAsia="仿宋_GB2312" w:cs="仿宋_GB2312"/>
                <w:bCs/>
                <w:color w:val="auto"/>
                <w:kern w:val="0"/>
                <w:sz w:val="21"/>
                <w:szCs w:val="21"/>
                <w:highlight w:val="none"/>
                <w:lang w:bidi="ar"/>
              </w:rPr>
              <w:t>吸纳外省脱贫人口数不少于2646人</w:t>
            </w:r>
            <w:r>
              <w:rPr>
                <w:rFonts w:hint="eastAsia" w:ascii="仿宋_GB2312" w:hAnsi="仿宋_GB2312" w:eastAsia="仿宋_GB2312" w:cs="仿宋_GB2312"/>
                <w:bCs/>
                <w:color w:val="auto"/>
                <w:kern w:val="0"/>
                <w:sz w:val="21"/>
                <w:szCs w:val="21"/>
                <w:highlight w:val="none"/>
                <w:lang w:eastAsia="zh-CN" w:bidi="ar"/>
              </w:rPr>
              <w:t>。</w:t>
            </w:r>
            <w:r>
              <w:rPr>
                <w:rFonts w:hint="eastAsia" w:ascii="仿宋_GB2312" w:hAnsi="仿宋_GB2312" w:eastAsia="仿宋_GB2312" w:cs="仿宋_GB2312"/>
                <w:b w:val="0"/>
                <w:bCs/>
                <w:color w:val="auto"/>
                <w:kern w:val="0"/>
                <w:sz w:val="21"/>
                <w:szCs w:val="21"/>
                <w:highlight w:val="none"/>
                <w:lang w:val="en-US" w:eastAsia="zh-CN" w:bidi="ar"/>
              </w:rPr>
              <w:t>2022年10月底前完成支出。</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460" w:lineRule="exact"/>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1323</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2" w:hRule="atLeast"/>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3</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珠海市</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珠海市</w:t>
            </w:r>
            <w:r>
              <w:rPr>
                <w:rFonts w:hint="eastAsia" w:ascii="仿宋_GB2312" w:hAnsi="仿宋_GB2312" w:eastAsia="仿宋_GB2312" w:cs="仿宋_GB2312"/>
                <w:b w:val="0"/>
                <w:bCs/>
                <w:i w:val="0"/>
                <w:color w:val="auto"/>
                <w:kern w:val="0"/>
                <w:sz w:val="21"/>
                <w:szCs w:val="21"/>
                <w:highlight w:val="none"/>
                <w:u w:val="none"/>
                <w:lang w:val="en-US" w:eastAsia="zh-CN" w:bidi="ar"/>
              </w:rPr>
              <w:t>农业农村局</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用于奖励吸纳外省脱贫人口稳岗就业的在粤企业</w:t>
            </w:r>
            <w:r>
              <w:rPr>
                <w:rFonts w:hint="eastAsia" w:ascii="仿宋_GB2312" w:hAnsi="仿宋_GB2312" w:eastAsia="仿宋_GB2312" w:cs="仿宋_GB2312"/>
                <w:b w:val="0"/>
                <w:bCs/>
                <w:color w:val="auto"/>
                <w:kern w:val="0"/>
                <w:sz w:val="21"/>
                <w:szCs w:val="21"/>
                <w:highlight w:val="none"/>
                <w:lang w:val="en-US" w:eastAsia="zh-CN" w:bidi="ar"/>
              </w:rPr>
              <w:t>、农民专业合作社和社会组织</w:t>
            </w:r>
            <w:r>
              <w:rPr>
                <w:rFonts w:hint="eastAsia" w:ascii="仿宋_GB2312" w:hAnsi="仿宋_GB2312" w:eastAsia="仿宋_GB2312" w:cs="仿宋_GB2312"/>
                <w:b w:val="0"/>
                <w:bCs/>
                <w:i w:val="0"/>
                <w:color w:val="auto"/>
                <w:kern w:val="0"/>
                <w:sz w:val="21"/>
                <w:szCs w:val="21"/>
                <w:highlight w:val="none"/>
                <w:u w:val="none"/>
                <w:lang w:val="en-US" w:eastAsia="zh-CN" w:bidi="ar"/>
              </w:rPr>
              <w:t>，及外省脱贫人口来粤务工就业</w:t>
            </w:r>
            <w:r>
              <w:rPr>
                <w:rFonts w:hint="eastAsia" w:ascii="仿宋_GB2312" w:hAnsi="仿宋_GB2312" w:eastAsia="仿宋_GB2312" w:cs="仿宋_GB2312"/>
                <w:b w:val="0"/>
                <w:bCs/>
                <w:color w:val="auto"/>
                <w:kern w:val="0"/>
                <w:sz w:val="21"/>
                <w:szCs w:val="21"/>
                <w:highlight w:val="none"/>
                <w:lang w:val="en-US" w:eastAsia="zh-CN" w:bidi="ar"/>
              </w:rPr>
              <w:t>补贴、岗位补贴、</w:t>
            </w:r>
            <w:r>
              <w:rPr>
                <w:rFonts w:hint="eastAsia" w:ascii="仿宋_GB2312" w:hAnsi="仿宋_GB2312" w:eastAsia="仿宋_GB2312" w:cs="仿宋_GB2312"/>
                <w:b w:val="0"/>
                <w:bCs/>
                <w:i w:val="0"/>
                <w:color w:val="auto"/>
                <w:kern w:val="0"/>
                <w:sz w:val="21"/>
                <w:szCs w:val="21"/>
                <w:highlight w:val="none"/>
                <w:u w:val="none"/>
                <w:lang w:val="en-US" w:eastAsia="zh-CN" w:bidi="ar"/>
              </w:rPr>
              <w:t>一次性交通补助、稳岗转岗拓岗培训、特殊困难生活补助等。</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提高在粤企业吸纳外省脱贫人口稳岗就业的积极性和外省脱贫人口来粤务工就业积极性。吸纳外省脱贫人口数不少于832人。2022年10月底前完成支出。</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460" w:lineRule="exact"/>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416</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43" w:hRule="atLeast"/>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6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4</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佛山市</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佛山市农业农村局</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用于奖励吸纳外省脱贫人口稳岗就业的在粤企业</w:t>
            </w:r>
            <w:r>
              <w:rPr>
                <w:rFonts w:hint="eastAsia" w:ascii="仿宋_GB2312" w:hAnsi="仿宋_GB2312" w:eastAsia="仿宋_GB2312" w:cs="仿宋_GB2312"/>
                <w:b w:val="0"/>
                <w:bCs/>
                <w:color w:val="auto"/>
                <w:kern w:val="0"/>
                <w:sz w:val="21"/>
                <w:szCs w:val="21"/>
                <w:highlight w:val="none"/>
                <w:lang w:val="en-US" w:eastAsia="zh-CN" w:bidi="ar"/>
              </w:rPr>
              <w:t>、农民专业合作社和社会组织</w:t>
            </w:r>
            <w:r>
              <w:rPr>
                <w:rFonts w:hint="eastAsia" w:ascii="仿宋_GB2312" w:hAnsi="仿宋_GB2312" w:eastAsia="仿宋_GB2312" w:cs="仿宋_GB2312"/>
                <w:b w:val="0"/>
                <w:bCs/>
                <w:i w:val="0"/>
                <w:color w:val="auto"/>
                <w:kern w:val="0"/>
                <w:sz w:val="21"/>
                <w:szCs w:val="21"/>
                <w:highlight w:val="none"/>
                <w:u w:val="none"/>
                <w:lang w:val="en-US" w:eastAsia="zh-CN" w:bidi="ar"/>
              </w:rPr>
              <w:t>，及外省脱贫人口来粤务工就业</w:t>
            </w:r>
            <w:r>
              <w:rPr>
                <w:rFonts w:hint="eastAsia" w:ascii="仿宋_GB2312" w:hAnsi="仿宋_GB2312" w:eastAsia="仿宋_GB2312" w:cs="仿宋_GB2312"/>
                <w:b w:val="0"/>
                <w:bCs/>
                <w:color w:val="auto"/>
                <w:kern w:val="0"/>
                <w:sz w:val="21"/>
                <w:szCs w:val="21"/>
                <w:highlight w:val="none"/>
                <w:lang w:val="en-US" w:eastAsia="zh-CN" w:bidi="ar"/>
              </w:rPr>
              <w:t>补贴、岗位补贴、</w:t>
            </w:r>
            <w:r>
              <w:rPr>
                <w:rFonts w:hint="eastAsia" w:ascii="仿宋_GB2312" w:hAnsi="仿宋_GB2312" w:eastAsia="仿宋_GB2312" w:cs="仿宋_GB2312"/>
                <w:b w:val="0"/>
                <w:bCs/>
                <w:i w:val="0"/>
                <w:color w:val="auto"/>
                <w:kern w:val="0"/>
                <w:sz w:val="21"/>
                <w:szCs w:val="21"/>
                <w:highlight w:val="none"/>
                <w:u w:val="none"/>
                <w:lang w:val="en-US" w:eastAsia="zh-CN" w:bidi="ar"/>
              </w:rPr>
              <w:t>一次性交通补助、稳岗转岗拓岗培训、特殊困难生活补助等。</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Cs/>
                <w:color w:val="auto"/>
                <w:kern w:val="0"/>
                <w:sz w:val="21"/>
                <w:szCs w:val="21"/>
                <w:highlight w:val="none"/>
                <w:lang w:bidi="ar"/>
              </w:rPr>
              <w:t>提高在粤企业吸纳外省脱贫人口稳岗就业的积极性和外省脱贫人口来粤务工就业积极性。吸纳外省脱贫人口数不少于1616人。2022年10月底前完成支出。</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460" w:lineRule="exact"/>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808</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70" w:hRule="atLeast"/>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6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5</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东莞市</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东莞市经济协作</w:t>
            </w:r>
          </w:p>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办公室</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用于奖励吸纳外省脱贫人口稳岗就业的在粤企业</w:t>
            </w:r>
            <w:r>
              <w:rPr>
                <w:rFonts w:hint="eastAsia" w:ascii="仿宋_GB2312" w:hAnsi="仿宋_GB2312" w:eastAsia="仿宋_GB2312" w:cs="仿宋_GB2312"/>
                <w:b w:val="0"/>
                <w:bCs/>
                <w:color w:val="auto"/>
                <w:kern w:val="0"/>
                <w:sz w:val="21"/>
                <w:szCs w:val="21"/>
                <w:highlight w:val="none"/>
                <w:lang w:val="en-US" w:eastAsia="zh-CN" w:bidi="ar"/>
              </w:rPr>
              <w:t>、农民专业合作社和社会组织</w:t>
            </w:r>
            <w:r>
              <w:rPr>
                <w:rFonts w:hint="eastAsia" w:ascii="仿宋_GB2312" w:hAnsi="仿宋_GB2312" w:eastAsia="仿宋_GB2312" w:cs="仿宋_GB2312"/>
                <w:b w:val="0"/>
                <w:bCs/>
                <w:i w:val="0"/>
                <w:color w:val="auto"/>
                <w:kern w:val="0"/>
                <w:sz w:val="21"/>
                <w:szCs w:val="21"/>
                <w:highlight w:val="none"/>
                <w:u w:val="none"/>
                <w:lang w:val="en-US" w:eastAsia="zh-CN" w:bidi="ar"/>
              </w:rPr>
              <w:t>，及外省脱贫人口来粤务工就业</w:t>
            </w:r>
            <w:r>
              <w:rPr>
                <w:rFonts w:hint="eastAsia" w:ascii="仿宋_GB2312" w:hAnsi="仿宋_GB2312" w:eastAsia="仿宋_GB2312" w:cs="仿宋_GB2312"/>
                <w:b w:val="0"/>
                <w:bCs/>
                <w:color w:val="auto"/>
                <w:kern w:val="0"/>
                <w:sz w:val="21"/>
                <w:szCs w:val="21"/>
                <w:highlight w:val="none"/>
                <w:lang w:val="en-US" w:eastAsia="zh-CN" w:bidi="ar"/>
              </w:rPr>
              <w:t>补贴、岗位补贴、</w:t>
            </w:r>
            <w:r>
              <w:rPr>
                <w:rFonts w:hint="eastAsia" w:ascii="仿宋_GB2312" w:hAnsi="仿宋_GB2312" w:eastAsia="仿宋_GB2312" w:cs="仿宋_GB2312"/>
                <w:b w:val="0"/>
                <w:bCs/>
                <w:i w:val="0"/>
                <w:color w:val="auto"/>
                <w:kern w:val="0"/>
                <w:sz w:val="21"/>
                <w:szCs w:val="21"/>
                <w:highlight w:val="none"/>
                <w:u w:val="none"/>
                <w:lang w:val="en-US" w:eastAsia="zh-CN" w:bidi="ar"/>
              </w:rPr>
              <w:t>一次性交通补助、稳岗转岗拓岗培训、特殊困难生活补助等。</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提高在粤企业吸纳外省脱贫人口稳岗就业的积极性和外省脱贫人口来粤务工就业积极性。吸纳外省脱贫人口数不少于2450人。2022年10月底前完成支出。</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460" w:lineRule="exact"/>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1225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56" w:hRule="atLeast"/>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6</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中山市</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中山市农业农村局</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用于奖励吸纳外省脱贫人口稳岗就业的在粤企业</w:t>
            </w:r>
            <w:r>
              <w:rPr>
                <w:rFonts w:hint="eastAsia" w:ascii="仿宋_GB2312" w:hAnsi="仿宋_GB2312" w:eastAsia="仿宋_GB2312" w:cs="仿宋_GB2312"/>
                <w:b w:val="0"/>
                <w:bCs/>
                <w:color w:val="auto"/>
                <w:kern w:val="0"/>
                <w:sz w:val="21"/>
                <w:szCs w:val="21"/>
                <w:highlight w:val="none"/>
                <w:lang w:val="en-US" w:eastAsia="zh-CN" w:bidi="ar"/>
              </w:rPr>
              <w:t>、农民专业合作社和社会组织</w:t>
            </w:r>
            <w:r>
              <w:rPr>
                <w:rFonts w:hint="eastAsia" w:ascii="仿宋_GB2312" w:hAnsi="仿宋_GB2312" w:eastAsia="仿宋_GB2312" w:cs="仿宋_GB2312"/>
                <w:b w:val="0"/>
                <w:bCs/>
                <w:i w:val="0"/>
                <w:color w:val="auto"/>
                <w:kern w:val="0"/>
                <w:sz w:val="21"/>
                <w:szCs w:val="21"/>
                <w:highlight w:val="none"/>
                <w:u w:val="none"/>
                <w:lang w:val="en-US" w:eastAsia="zh-CN" w:bidi="ar"/>
              </w:rPr>
              <w:t>，及外省脱贫人口来粤务工就业</w:t>
            </w:r>
            <w:r>
              <w:rPr>
                <w:rFonts w:hint="eastAsia" w:ascii="仿宋_GB2312" w:hAnsi="仿宋_GB2312" w:eastAsia="仿宋_GB2312" w:cs="仿宋_GB2312"/>
                <w:b w:val="0"/>
                <w:bCs/>
                <w:color w:val="auto"/>
                <w:kern w:val="0"/>
                <w:sz w:val="21"/>
                <w:szCs w:val="21"/>
                <w:highlight w:val="none"/>
                <w:lang w:val="en-US" w:eastAsia="zh-CN" w:bidi="ar"/>
              </w:rPr>
              <w:t>补贴、岗位补贴、</w:t>
            </w:r>
            <w:r>
              <w:rPr>
                <w:rFonts w:hint="eastAsia" w:ascii="仿宋_GB2312" w:hAnsi="仿宋_GB2312" w:eastAsia="仿宋_GB2312" w:cs="仿宋_GB2312"/>
                <w:b w:val="0"/>
                <w:bCs/>
                <w:i w:val="0"/>
                <w:color w:val="auto"/>
                <w:kern w:val="0"/>
                <w:sz w:val="21"/>
                <w:szCs w:val="21"/>
                <w:highlight w:val="none"/>
                <w:u w:val="none"/>
                <w:lang w:val="en-US" w:eastAsia="zh-CN" w:bidi="ar"/>
              </w:rPr>
              <w:t>一次性交通补助、稳岗转岗拓岗培训、特殊困难生活补助等。</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提高在粤企业吸纳外省脱贫人口稳岗就业的积极性和外省脱贫人口来粤务工就业积极性。吸纳外省脱贫人口数不少于1324人。2022年10月底前完成支出。</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460" w:lineRule="exact"/>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662</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53" w:hRule="atLeast"/>
          <w:jc w:val="cent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7</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湛江市</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湛江市农业农村局</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用于奖励吸纳外省脱贫人口稳岗就业的在粤企业</w:t>
            </w:r>
            <w:r>
              <w:rPr>
                <w:rFonts w:hint="eastAsia" w:ascii="仿宋_GB2312" w:hAnsi="仿宋_GB2312" w:eastAsia="仿宋_GB2312" w:cs="仿宋_GB2312"/>
                <w:b w:val="0"/>
                <w:bCs/>
                <w:color w:val="auto"/>
                <w:kern w:val="0"/>
                <w:sz w:val="21"/>
                <w:szCs w:val="21"/>
                <w:highlight w:val="none"/>
                <w:lang w:val="en-US" w:eastAsia="zh-CN" w:bidi="ar"/>
              </w:rPr>
              <w:t>、农民专业合作社和社会组织</w:t>
            </w:r>
            <w:r>
              <w:rPr>
                <w:rFonts w:hint="eastAsia" w:ascii="仿宋_GB2312" w:hAnsi="仿宋_GB2312" w:eastAsia="仿宋_GB2312" w:cs="仿宋_GB2312"/>
                <w:b w:val="0"/>
                <w:bCs/>
                <w:i w:val="0"/>
                <w:color w:val="auto"/>
                <w:kern w:val="0"/>
                <w:sz w:val="21"/>
                <w:szCs w:val="21"/>
                <w:highlight w:val="none"/>
                <w:u w:val="none"/>
                <w:lang w:val="en-US" w:eastAsia="zh-CN" w:bidi="ar"/>
              </w:rPr>
              <w:t>，及外省脱贫人口来粤务工就业</w:t>
            </w:r>
            <w:r>
              <w:rPr>
                <w:rFonts w:hint="eastAsia" w:ascii="仿宋_GB2312" w:hAnsi="仿宋_GB2312" w:eastAsia="仿宋_GB2312" w:cs="仿宋_GB2312"/>
                <w:b w:val="0"/>
                <w:bCs/>
                <w:color w:val="auto"/>
                <w:kern w:val="0"/>
                <w:sz w:val="21"/>
                <w:szCs w:val="21"/>
                <w:highlight w:val="none"/>
                <w:lang w:val="en-US" w:eastAsia="zh-CN" w:bidi="ar"/>
              </w:rPr>
              <w:t>补贴、岗位补贴、</w:t>
            </w:r>
            <w:r>
              <w:rPr>
                <w:rFonts w:hint="eastAsia" w:ascii="仿宋_GB2312" w:hAnsi="仿宋_GB2312" w:eastAsia="仿宋_GB2312" w:cs="仿宋_GB2312"/>
                <w:b w:val="0"/>
                <w:bCs/>
                <w:i w:val="0"/>
                <w:color w:val="auto"/>
                <w:kern w:val="0"/>
                <w:sz w:val="21"/>
                <w:szCs w:val="21"/>
                <w:highlight w:val="none"/>
                <w:u w:val="none"/>
                <w:lang w:val="en-US" w:eastAsia="zh-CN" w:bidi="ar"/>
              </w:rPr>
              <w:t>一次性交通补助、稳岗转岗拓岗培训、特殊困难生活补助等。</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left"/>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提高在粤企业吸纳外省脱贫人口稳岗就业的积极性和外省脱贫人口来粤务工就业积极性。吸纳外省脱贫人口数不少于392人。2022年10月底前完成支出。</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196</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exact"/>
              <w:ind w:firstLine="0" w:firstLineChars="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含直管县</w:t>
            </w:r>
          </w:p>
        </w:tc>
      </w:tr>
    </w:tbl>
    <w:p>
      <w:pPr>
        <w:ind w:firstLine="0" w:firstLineChars="0"/>
        <w:rPr>
          <w:rFonts w:hint="default" w:ascii="仿宋_GB2312" w:hAnsi="仿宋_GB2312" w:eastAsia="仿宋_GB2312" w:cs="仿宋_GB2312"/>
          <w:sz w:val="32"/>
          <w:szCs w:val="32"/>
          <w:highlight w:val="none"/>
          <w:lang w:val="en-US" w:eastAsia="zh-CN"/>
        </w:rPr>
        <w:sectPr>
          <w:footerReference r:id="rId3" w:type="default"/>
          <w:pgSz w:w="16838" w:h="11906" w:orient="landscape"/>
          <w:pgMar w:top="1803" w:right="1440" w:bottom="1803" w:left="1440" w:header="851" w:footer="992" w:gutter="0"/>
          <w:pgNumType w:fmt="decimal"/>
          <w:cols w:space="720" w:num="1"/>
          <w:rtlGutter w:val="0"/>
          <w:docGrid w:type="lines" w:linePitch="319" w:charSpace="0"/>
        </w:sectPr>
      </w:pPr>
    </w:p>
    <w:p/>
    <w:sectPr>
      <w:footerReference r:id="rId4" w:type="default"/>
      <w:pgSz w:w="16838" w:h="11906" w:orient="landscape"/>
      <w:pgMar w:top="1531" w:right="1871" w:bottom="1531" w:left="1871" w:header="851" w:footer="992"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26A9E"/>
    <w:rsid w:val="2B226A9E"/>
    <w:rsid w:val="32EA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sz w:val="33"/>
      <w:szCs w:val="33"/>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2022-04-25T10:28:00Z</dcterms:created>
  <dc:creator>dell</dc:creator>
  <cp:lastModifiedBy>dell</cp:lastModifiedBy>
  <dcterms:modified xsi:type="dcterms:W3CDTF">2022-04-26T02:10:29Z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