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2019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5"/>
    </w:p>
    <w:p>
      <w:pPr>
        <w:jc w:val="left"/>
      </w:pPr>
      <w:bookmarkStart w:id="1" w:name="PO_part2Table1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广东省渔政总队本级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ind w:right="360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ind w:right="180"/>
              <w:jc w:val="right"/>
            </w:pPr>
            <w:r>
              <w:rPr>
                <w:rFonts w:hint="eastAsia"/>
              </w:rPr>
              <w:t>5069.93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5069.93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6"/>
    </w:p>
    <w:p>
      <w:bookmarkStart w:id="7" w:name="PO_part2Table3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3376.65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3038.97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1693.28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2130135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农业资源保护修复与利用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海洋管理事务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2200250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9"/>
    </w:p>
    <w:p>
      <w:bookmarkStart w:id="10" w:name="PO_part2Table4"/>
    </w:p>
    <w:tbl>
      <w:tblPr>
        <w:tblStyle w:val="7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337.68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4732.25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5069.93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7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5069.93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3376.65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1693.28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337.68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4732.25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3038.97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1693.28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4732.25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3038.97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1693.28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3038.97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3038.97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1693.28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1693.28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5"/>
    </w:p>
    <w:p>
      <w:bookmarkStart w:id="16" w:name="PO_part2Table6and7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3376.65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2729.85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295.8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8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7"/>
        <w:tblW w:w="136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6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单位名称：广东省渔政总队本级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1,658.00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[30202]印刷费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[30203]咨询费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[50205]委托业务费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[30205]水费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[30206]电费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[30209]物业管理费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[50209]维修（护）费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84.58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[30214]租赁费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[30215]会议费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[50202]会议费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48.61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单位名称：广东省渔政总队本级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</w:tbl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72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[50203]培训费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[30224]被装购置费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[50204]专用材料购置费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[30227]委托业务费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[50205]委托业务费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833.80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[30231]公务用车运行维护费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[50208]公务用车运行维护费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[30239]其他交通费用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[503]机关资本性支出（一）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[31002]办公设备购置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[50306]设备购置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35.28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19" w:name="PO_part2Table8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975.76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975.76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35.17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35.17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21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22" w:name="PO_part2Table9and10and11"/>
    </w:p>
    <w:tbl>
      <w:tblPr>
        <w:tblStyle w:val="7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广东省渔政总队本级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2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24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7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722"/>
        <w:gridCol w:w="141"/>
        <w:gridCol w:w="258"/>
        <w:gridCol w:w="987"/>
        <w:gridCol w:w="740"/>
        <w:gridCol w:w="248"/>
        <w:gridCol w:w="988"/>
        <w:gridCol w:w="181"/>
        <w:gridCol w:w="807"/>
        <w:gridCol w:w="753"/>
        <w:gridCol w:w="235"/>
        <w:gridCol w:w="1607"/>
        <w:gridCol w:w="1276"/>
        <w:gridCol w:w="1701"/>
        <w:gridCol w:w="1276"/>
        <w:gridCol w:w="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02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    表10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99" w:hRule="atLeast"/>
        </w:trPr>
        <w:tc>
          <w:tcPr>
            <w:tcW w:w="139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02" w:hRule="atLeast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单位名称：广东省渔政总队本级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广东省渔政总队本级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3,376.65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工资和福利支出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2,729.85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2,729.85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2,729.85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商品和服务支出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313.12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313.12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313.12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对个人和家庭的补助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333.68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333.68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333.68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其他资本性等支出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7"/>
        <w:tblW w:w="13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180"/>
        <w:gridCol w:w="1180"/>
        <w:gridCol w:w="1180"/>
        <w:gridCol w:w="316"/>
        <w:gridCol w:w="864"/>
        <w:gridCol w:w="412"/>
        <w:gridCol w:w="768"/>
        <w:gridCol w:w="507"/>
        <w:gridCol w:w="673"/>
        <w:gridCol w:w="887"/>
        <w:gridCol w:w="293"/>
        <w:gridCol w:w="84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单位名称：广东省渔政总队本级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2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广东省渔政总队本级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1,693.28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办公设备配置、维护、保密及档案管理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65.58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65.58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65.58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广东省渔业安全生产通信指挥系统运行与维护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279.00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海洋综合执法工作会议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48.61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48.61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48.61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行政执法制服配发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海洋综合执法培训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101.11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101.11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101.11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海洋渔业短波通信网岸台工作经费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执法船艇维护保养核查及执法装备论证咨询服务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广东渔业船舶信息管理系统维护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 xml:space="preserve">                                                                                                                        表11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单位名称：广东省渔政总队本级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　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</w:tbl>
    <w:tbl>
      <w:tblPr>
        <w:tblStyle w:val="8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34"/>
        <w:gridCol w:w="1275"/>
        <w:gridCol w:w="1418"/>
        <w:gridCol w:w="1276"/>
        <w:gridCol w:w="1275"/>
        <w:gridCol w:w="156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2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560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渔船渔港安全生产监督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198.19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198.19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198.19</w:t>
            </w: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渔政综合执法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278.06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278.06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278.06</w:t>
            </w: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队伍建设与军事训练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284.17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284.17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284.17</w:t>
            </w: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渔业船舶和产品检验专项工作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49.72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49.72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49.72</w:t>
            </w: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海洋综合执法政策研究与宣传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254.67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254.67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254.67</w:t>
            </w:r>
          </w:p>
        </w:tc>
        <w:tc>
          <w:tcPr>
            <w:tcW w:w="1276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78"/>
    <w:rsid w:val="00104264"/>
    <w:rsid w:val="00160F3D"/>
    <w:rsid w:val="0019523E"/>
    <w:rsid w:val="003876D9"/>
    <w:rsid w:val="003F58DE"/>
    <w:rsid w:val="005944FB"/>
    <w:rsid w:val="0066187E"/>
    <w:rsid w:val="006E618C"/>
    <w:rsid w:val="00724F9A"/>
    <w:rsid w:val="0074323C"/>
    <w:rsid w:val="00752875"/>
    <w:rsid w:val="00770E6A"/>
    <w:rsid w:val="0077352A"/>
    <w:rsid w:val="007A355C"/>
    <w:rsid w:val="007C26AF"/>
    <w:rsid w:val="007F14F8"/>
    <w:rsid w:val="00834B52"/>
    <w:rsid w:val="00846B47"/>
    <w:rsid w:val="008C3596"/>
    <w:rsid w:val="00900E0D"/>
    <w:rsid w:val="009E5A8F"/>
    <w:rsid w:val="00A05539"/>
    <w:rsid w:val="00A84880"/>
    <w:rsid w:val="00B96269"/>
    <w:rsid w:val="00C3297E"/>
    <w:rsid w:val="00C63578"/>
    <w:rsid w:val="00CA272B"/>
    <w:rsid w:val="00D42397"/>
    <w:rsid w:val="00D62A6B"/>
    <w:rsid w:val="00DD3757"/>
    <w:rsid w:val="00E25411"/>
    <w:rsid w:val="00E3507C"/>
    <w:rsid w:val="00E53A65"/>
    <w:rsid w:val="00EF2BA3"/>
    <w:rsid w:val="258161F1"/>
    <w:rsid w:val="265B3A46"/>
    <w:rsid w:val="26FC35CF"/>
    <w:rsid w:val="294B363F"/>
    <w:rsid w:val="35C36C1F"/>
    <w:rsid w:val="7DD72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autoSpaceDE w:val="0"/>
      <w:autoSpaceDN w:val="0"/>
      <w:adjustRightInd w:val="0"/>
      <w:ind w:left="20"/>
      <w:jc w:val="left"/>
    </w:pPr>
    <w:rPr>
      <w:rFonts w:ascii="宋体" w:hAnsi="Times New Roman" w:cs="宋体"/>
      <w:kern w:val="0"/>
      <w:sz w:val="30"/>
      <w:szCs w:val="30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正文文本 Char"/>
    <w:basedOn w:val="6"/>
    <w:link w:val="2"/>
    <w:qFormat/>
    <w:uiPriority w:val="99"/>
    <w:rPr>
      <w:rFonts w:ascii="宋体" w:hAnsi="Times New Roman" w:eastAsia="宋体" w:cs="宋体"/>
      <w:sz w:val="30"/>
      <w:szCs w:val="30"/>
    </w:rPr>
  </w:style>
  <w:style w:type="character" w:customStyle="1" w:styleId="11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不明显参考1"/>
    <w:qFormat/>
    <w:uiPriority w:val="31"/>
    <w:rPr>
      <w:smallCaps/>
      <w:color w:val="5A5A5A"/>
    </w:rPr>
  </w:style>
  <w:style w:type="character" w:customStyle="1" w:styleId="13">
    <w:name w:val="页脚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1"/>
    <w:basedOn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1"/>
    <w:basedOn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72877-84B7-483F-A8BE-342F89255E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39</Pages>
  <Words>1912</Words>
  <Characters>10900</Characters>
  <Lines>90</Lines>
  <Paragraphs>25</Paragraphs>
  <TotalTime>60</TotalTime>
  <ScaleCrop>false</ScaleCrop>
  <LinksUpToDate>false</LinksUpToDate>
  <CharactersWithSpaces>12787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2019-03-06T01:27:00Z</dcterms:created>
  <dc:creator>Win7QJB</dc:creator>
  <cp:lastModifiedBy>小许</cp:lastModifiedBy>
  <dcterms:modified xsi:type="dcterms:W3CDTF">2019-03-19T08:48:08Z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